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大厂回族自治县农业农村局</w:t>
      </w:r>
      <w:r>
        <w:rPr>
          <w:rFonts w:hint="eastAsia" w:ascii="Times New Roman" w:hAnsi="Times New Roman" w:eastAsia="方正小标宋简体" w:cs="Times New Roman"/>
          <w:sz w:val="44"/>
          <w:szCs w:val="44"/>
          <w:lang w:val="en-US" w:eastAsia="zh-CN"/>
        </w:rPr>
        <w:t>2020</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lang w:eastAsia="zh-CN"/>
        </w:rPr>
        <w:t>大厂回族自治县农业农村局</w:t>
      </w:r>
      <w:r>
        <w:rPr>
          <w:rFonts w:hint="eastAsia" w:ascii="Times New Roman" w:hAnsi="Times New Roman" w:eastAsia="仿宋_GB2312" w:cs="Times New Roman"/>
          <w:sz w:val="32"/>
          <w:szCs w:val="32"/>
          <w:lang w:val="en-US" w:eastAsia="zh-CN"/>
        </w:rPr>
        <w:t>2020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（一）</w:t>
      </w:r>
      <w:r>
        <w:rPr>
          <w:rFonts w:hint="eastAsia" w:ascii="仿宋" w:hAnsi="仿宋" w:eastAsia="仿宋" w:cs="仿宋"/>
          <w:sz w:val="32"/>
          <w:szCs w:val="32"/>
        </w:rPr>
        <w:t>统筹研究和组织实施全县“三农”工作的发展战略中长期规划、重大政策。组织起草农业农村有关地方性法规草案政府规章草案，指导全县农业综合执法。参与涉农的财税、价格、收储、金融保险、进出口等政策制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w:t>
      </w:r>
      <w:r>
        <w:rPr>
          <w:rFonts w:hint="eastAsia" w:ascii="仿宋" w:hAnsi="仿宋" w:eastAsia="仿宋" w:cs="仿宋"/>
          <w:sz w:val="32"/>
          <w:szCs w:val="32"/>
        </w:rPr>
        <w:t>协调推动发展全县农村社会事业、农村公共服务、农村文化、农村基础设施和乡村治理。牵头组织改善农村人居环境。协调推进乡村文明和优秀农耕文化建设。指导农业行业安全生产工作。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（三）</w:t>
      </w:r>
      <w:r>
        <w:rPr>
          <w:rFonts w:hint="eastAsia" w:ascii="仿宋" w:hAnsi="仿宋" w:eastAsia="仿宋" w:cs="仿宋"/>
          <w:sz w:val="32"/>
          <w:szCs w:val="32"/>
        </w:rPr>
        <w:t>拟订县级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（四）</w:t>
      </w:r>
      <w:r>
        <w:rPr>
          <w:rFonts w:hint="eastAsia" w:ascii="仿宋" w:hAnsi="仿宋" w:eastAsia="仿宋" w:cs="仿宋"/>
          <w:sz w:val="32"/>
          <w:szCs w:val="32"/>
        </w:rPr>
        <w:t>指导全县乡村产业、农产品加工业和体闲农业发展工作。提出促进大宗农产品流通的建议，培育、保护农业品牌。承担农业统计和农业农村信息化有关工作，监测分析农业农村经济运行。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（五）</w:t>
      </w:r>
      <w:r>
        <w:rPr>
          <w:rFonts w:hint="eastAsia" w:ascii="仿宋" w:hAnsi="仿宋" w:eastAsia="仿宋" w:cs="仿宋"/>
          <w:sz w:val="32"/>
          <w:szCs w:val="32"/>
        </w:rPr>
        <w:t>负责全县种植业、畜牧业、渔业、农垦、农业机械化等农业各产业的监督管理。指导粮、棉、油、菜、水果、肉、蛋、奶、蜜、渔等农产品生产。组织构建现代农业产业体系、生产体</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系、经营体系，指导农业标准化生产。负责渔业监督管理。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color w:val="FF0000"/>
          <w:sz w:val="32"/>
          <w:szCs w:val="32"/>
        </w:rPr>
      </w:pPr>
      <w:r>
        <w:rPr>
          <w:rFonts w:hint="eastAsia" w:ascii="仿宋" w:hAnsi="仿宋" w:eastAsia="仿宋" w:cs="仿宋"/>
          <w:b w:val="0"/>
          <w:bCs/>
          <w:sz w:val="32"/>
          <w:szCs w:val="32"/>
        </w:rPr>
        <w:t>（六）</w:t>
      </w:r>
      <w:r>
        <w:rPr>
          <w:rFonts w:hint="eastAsia" w:ascii="仿宋" w:hAnsi="仿宋" w:eastAsia="仿宋" w:cs="仿宋"/>
          <w:sz w:val="32"/>
          <w:szCs w:val="32"/>
        </w:rPr>
        <w:t>负责全县农产品质量安全监督管理。组织开展农产品质量安全监测、追溯、风险评估和监督抽查。参与制定农产品质量安全地方标准并会同有关部门组织实施。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（七）</w:t>
      </w:r>
      <w:r>
        <w:rPr>
          <w:rFonts w:hint="eastAsia" w:ascii="仿宋" w:hAnsi="仿宋" w:eastAsia="仿宋" w:cs="仿宋"/>
          <w:sz w:val="32"/>
          <w:szCs w:val="32"/>
        </w:rPr>
        <w:t>负责全县农业资源保护、开发与利用。指导农用地、渔业水域以及农业生物物种资源的保护与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（八）</w:t>
      </w:r>
      <w:r>
        <w:rPr>
          <w:rFonts w:hint="eastAsia" w:ascii="仿宋" w:hAnsi="仿宋" w:eastAsia="仿宋" w:cs="仿宋"/>
          <w:sz w:val="32"/>
          <w:szCs w:val="32"/>
        </w:rPr>
        <w:t>负责有关农业生产资料和农业投入品的监督管理。组织农业生产资料市场体系建设，落实有关农业生产资料相关标准并监督实施。执行落实兽药残留限量和残留检测方法标准并按规定发布。组织兽医医政、兽药药政药检工作，负责执业兽医和畜禽屠宰行业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（九）</w:t>
      </w:r>
      <w:r>
        <w:rPr>
          <w:rFonts w:hint="eastAsia" w:ascii="仿宋" w:hAnsi="仿宋" w:eastAsia="仿宋" w:cs="仿宋"/>
          <w:sz w:val="32"/>
          <w:szCs w:val="32"/>
        </w:rPr>
        <w:t>负责农业防灾减灾、农作物重大病虫害预测预报及防治工作。指导动植物防疫检疫体系建设，组织、监督县内动植物防疫检疫工作，依法发布疫情并组织扑灭。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w:t>
      </w:r>
      <w:r>
        <w:rPr>
          <w:rFonts w:hint="eastAsia" w:ascii="仿宋" w:hAnsi="仿宋" w:eastAsia="仿宋" w:cs="仿宋"/>
          <w:sz w:val="32"/>
          <w:szCs w:val="32"/>
        </w:rPr>
        <w:t>负责农业投资管理。提出农业投融资体制机制改革建议。编制县级投资安排的农业投资</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项目建设规划，提出农业投资规模和方向、扶持农业农村发展财政项目的建议，编制县级投资安排的农业投资项目建设规划，提出农业投资规模和方</w:t>
      </w:r>
      <w:r>
        <w:rPr>
          <w:rFonts w:hint="eastAsia" w:ascii="仿宋" w:hAnsi="仿宋" w:eastAsia="仿宋" w:cs="仿宋"/>
          <w:sz w:val="32"/>
          <w:szCs w:val="32"/>
          <w:lang w:eastAsia="zh-CN"/>
        </w:rPr>
        <w:t>向</w:t>
      </w:r>
      <w:r>
        <w:rPr>
          <w:rFonts w:hint="eastAsia" w:ascii="仿宋" w:hAnsi="仿宋" w:eastAsia="仿宋" w:cs="仿宋"/>
          <w:sz w:val="32"/>
          <w:szCs w:val="32"/>
        </w:rPr>
        <w:t>、扶持农业农村发展财政项目的建议，按规定权限审批农业投资项目，负责农业投资项目资金安排和监督管理。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（十一）</w:t>
      </w:r>
      <w:r>
        <w:rPr>
          <w:rFonts w:hint="eastAsia" w:ascii="仿宋" w:hAnsi="仿宋" w:eastAsia="仿宋" w:cs="仿宋"/>
          <w:sz w:val="32"/>
          <w:szCs w:val="32"/>
        </w:rPr>
        <w:t>推动农业科技体制改革和农业科技创新体系建设。指导农业产业技术体系和农技推广体系建设，组织开展农业领域的高新技术和应用技术研究、科技成果转化和技术推广。负责农业转基因生物安全监督管理和农业植物新品种保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（十二）</w:t>
      </w:r>
      <w:r>
        <w:rPr>
          <w:rFonts w:hint="eastAsia" w:ascii="仿宋" w:hAnsi="仿宋" w:eastAsia="仿宋" w:cs="仿宋"/>
          <w:sz w:val="32"/>
          <w:szCs w:val="32"/>
        </w:rPr>
        <w:t>指导农业农村人才工作。拟订农业农村人才队伍建设规划并组织实施，指导农业教育和农业职业技能开发，指导新型职业农民培育、农业科技人才培养和农村实用人才培训工作。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（十三）</w:t>
      </w:r>
      <w:r>
        <w:rPr>
          <w:rFonts w:hint="eastAsia" w:ascii="仿宋" w:hAnsi="仿宋" w:eastAsia="仿宋" w:cs="仿宋"/>
          <w:sz w:val="32"/>
          <w:szCs w:val="32"/>
        </w:rPr>
        <w:t>牵头开展农业对外合作工作。承办政府间农业涉外事务，组织开展对外农业贸易和有关国际交流合作，具体执行有关农业援外项目。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（十四）</w:t>
      </w:r>
      <w:r>
        <w:rPr>
          <w:rFonts w:hint="eastAsia" w:ascii="仿宋" w:hAnsi="仿宋" w:eastAsia="仿宋" w:cs="仿宋"/>
          <w:sz w:val="32"/>
          <w:szCs w:val="32"/>
        </w:rPr>
        <w:t>负责保障水资源的合理开发利用。拟订水利战略规划和政策，起草水利有关规范性文件，组织编制全县水资源战略规划、重要江河流域综合规划、防洪规划等重大水利规划。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（十五）</w:t>
      </w:r>
      <w:r>
        <w:rPr>
          <w:rFonts w:hint="eastAsia" w:ascii="仿宋" w:hAnsi="仿宋" w:eastAsia="仿宋" w:cs="仿宋"/>
          <w:sz w:val="32"/>
          <w:szCs w:val="32"/>
        </w:rPr>
        <w:t>负责生活、生产经营和生态环境用水的统筹和协调。落实最严格水资源管理制度，实施水资源的统一监督管理，拟订全县水中长期供求规划、水量分配方案并监督实施。负责重要流域、区域以及重大调水工程的水资源调度。组织实施取水许可、水资源论证和防洪论证制度，指导开展水资源有偿使用工作。指导水利行业供水和乡镇供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（十六）</w:t>
      </w:r>
      <w:r>
        <w:rPr>
          <w:rFonts w:hint="eastAsia" w:ascii="仿宋" w:hAnsi="仿宋" w:eastAsia="仿宋" w:cs="仿宋"/>
          <w:sz w:val="32"/>
          <w:szCs w:val="32"/>
        </w:rPr>
        <w:t>按规定制定水利工程建设有关制度并组织实施，负责提出县级水利固定资产投资规模、方向、具体安排建议并组织指导实施，按权限审批、核准县规划内和年度计划规模内固定资产投资项目，提出县级水利资金安排建议并负责项目实施的监督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9"/>
        <w:rPr>
          <w:rFonts w:hint="eastAsia" w:ascii="仿宋" w:hAnsi="仿宋" w:eastAsia="仿宋" w:cs="仿宋"/>
          <w:sz w:val="32"/>
          <w:szCs w:val="32"/>
        </w:rPr>
      </w:pPr>
      <w:r>
        <w:rPr>
          <w:rFonts w:hint="eastAsia" w:ascii="仿宋" w:hAnsi="仿宋" w:eastAsia="仿宋" w:cs="仿宋"/>
          <w:b/>
          <w:sz w:val="32"/>
          <w:szCs w:val="32"/>
        </w:rPr>
        <w:t>（</w:t>
      </w:r>
      <w:r>
        <w:rPr>
          <w:rFonts w:hint="eastAsia" w:ascii="仿宋" w:hAnsi="仿宋" w:eastAsia="仿宋" w:cs="仿宋"/>
          <w:b w:val="0"/>
          <w:bCs/>
          <w:sz w:val="32"/>
          <w:szCs w:val="32"/>
        </w:rPr>
        <w:t>十七）</w:t>
      </w:r>
      <w:r>
        <w:rPr>
          <w:rFonts w:hint="eastAsia" w:ascii="仿宋" w:hAnsi="仿宋" w:eastAsia="仿宋" w:cs="仿宋"/>
          <w:sz w:val="32"/>
          <w:szCs w:val="32"/>
        </w:rPr>
        <w:t>指导水资源保护工作。组织编制并实施水资源保护规划。指导饮用水水源保护有关工作，指导地下水开发利用和地下水资源管理保护。组织指导地下水超采区综合治理。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（十八）</w:t>
      </w:r>
      <w:r>
        <w:rPr>
          <w:rFonts w:hint="eastAsia" w:ascii="仿宋" w:hAnsi="仿宋" w:eastAsia="仿宋" w:cs="仿宋"/>
          <w:sz w:val="32"/>
          <w:szCs w:val="32"/>
        </w:rPr>
        <w:t>负责节约用水工作。拟订节约用水政策，组织编制节约用水规划并监督实施，组织制定有关标准，组织实施用水总量控制等管理制度，指导和推动节水型社会建设工作。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（十九）</w:t>
      </w:r>
      <w:r>
        <w:rPr>
          <w:rFonts w:hint="eastAsia" w:ascii="仿宋" w:hAnsi="仿宋" w:eastAsia="仿宋" w:cs="仿宋"/>
          <w:sz w:val="32"/>
          <w:szCs w:val="32"/>
        </w:rPr>
        <w:t>指导水利设施、水域及其岸线的管理、保护与综合利用。组织指导水利基础设施网络建设。指导重要江河及河口的治理、开发和保护。指导河流水生态保护与修复、河流生态流量水量管理以及河流水系连通工作。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w:t>
      </w:r>
      <w:r>
        <w:rPr>
          <w:rFonts w:hint="eastAsia" w:ascii="仿宋" w:hAnsi="仿宋" w:eastAsia="仿宋" w:cs="仿宋"/>
          <w:sz w:val="32"/>
          <w:szCs w:val="32"/>
        </w:rPr>
        <w:t>指导监督水利工程建设与运行管理。组织实施具有控制性的和跨区域跨流域的重要水利工程建设与运行管理。组织并协调落实南水北调配套工程建设的有关工作，组织工程验收有关工作，指导地方配套工程建设。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（二十一）</w:t>
      </w:r>
      <w:r>
        <w:rPr>
          <w:rFonts w:hint="eastAsia" w:ascii="仿宋" w:hAnsi="仿宋" w:eastAsia="仿宋" w:cs="仿宋"/>
          <w:sz w:val="32"/>
          <w:szCs w:val="32"/>
        </w:rPr>
        <w:t>负责水土保持工作。拟订水土保持规划并监督实施，组织实施水土流失的综合防治。负责建设项目水土保持监督管理工作，指导重点水土保持建设项目的实施。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（二十二）</w:t>
      </w:r>
      <w:r>
        <w:rPr>
          <w:rFonts w:hint="eastAsia" w:ascii="仿宋" w:hAnsi="仿宋" w:eastAsia="仿宋" w:cs="仿宋"/>
          <w:sz w:val="32"/>
          <w:szCs w:val="32"/>
        </w:rPr>
        <w:t>指导农村水利工作。组织开展大中型灌排工程建设与改造。指导农村饮水安全工程建设管理工作，指导节水灌溉有关工作。指导农村水利改革创新和社会化服务体系建设。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（二十三）</w:t>
      </w:r>
      <w:r>
        <w:rPr>
          <w:rFonts w:hint="eastAsia" w:ascii="仿宋" w:hAnsi="仿宋" w:eastAsia="仿宋" w:cs="仿宋"/>
          <w:sz w:val="32"/>
          <w:szCs w:val="32"/>
        </w:rPr>
        <w:t>指导水库、水电工程移民管理工作。拟订水库、水电工程移民有关政策并监督实施，组织实施移民安置验收、监督评估等制度。指导监督水库移民后期扶持政策的实施。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（二十四）</w:t>
      </w:r>
      <w:r>
        <w:rPr>
          <w:rFonts w:hint="eastAsia" w:ascii="仿宋" w:hAnsi="仿宋" w:eastAsia="仿宋" w:cs="仿宋"/>
          <w:sz w:val="32"/>
          <w:szCs w:val="32"/>
        </w:rPr>
        <w:t>负责重大涉水违法事件的查处，协调和仲裁县域水事纠纷，指导水政监察和水行政执法。依法负责水利行业安全生产工作，组织指导水库的安全监管。指导水利建设市场的监督管理，组织实施水利工程建设的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（二十五）</w:t>
      </w:r>
      <w:r>
        <w:rPr>
          <w:rFonts w:hint="eastAsia" w:ascii="仿宋" w:hAnsi="仿宋" w:eastAsia="仿宋" w:cs="仿宋"/>
          <w:sz w:val="32"/>
          <w:szCs w:val="32"/>
        </w:rPr>
        <w:t>组织开展水利行业质量监督工作，对水利行业技术标准、规程规范的实施进行监督。开展水利科技工作。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（二十六）</w:t>
      </w:r>
      <w:r>
        <w:rPr>
          <w:rFonts w:hint="eastAsia" w:ascii="仿宋" w:hAnsi="仿宋" w:eastAsia="仿宋" w:cs="仿宋"/>
          <w:sz w:val="32"/>
          <w:szCs w:val="32"/>
        </w:rPr>
        <w:t>负责落实综合防灾减灾规划相关要求，组织编制洪水干旱灾害防治规划和防护标准并指导实施。承担水情旱情监测预警工作。组织编制重要江河和重要水工程的防御洪水抗御旱灾调度及应急水量调度方案，按程序报批并组织实施。承担防御洪水应急抢险的技术支撑工作。承担</w:t>
      </w:r>
      <w:r>
        <w:rPr>
          <w:rFonts w:hint="eastAsia" w:ascii="仿宋" w:hAnsi="仿宋" w:eastAsia="仿宋" w:cs="仿宋"/>
          <w:sz w:val="32"/>
          <w:szCs w:val="32"/>
          <w:lang w:eastAsia="zh-CN"/>
        </w:rPr>
        <w:t>台</w:t>
      </w:r>
      <w:r>
        <w:rPr>
          <w:rFonts w:hint="eastAsia" w:ascii="仿宋" w:hAnsi="仿宋" w:eastAsia="仿宋" w:cs="仿宋"/>
          <w:sz w:val="32"/>
          <w:szCs w:val="32"/>
        </w:rPr>
        <w:t>风防御期间重要水工程调度工作。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（二十七）</w:t>
      </w:r>
      <w:r>
        <w:rPr>
          <w:rFonts w:hint="eastAsia" w:ascii="仿宋" w:hAnsi="仿宋" w:eastAsia="仿宋" w:cs="仿宋"/>
          <w:sz w:val="32"/>
          <w:szCs w:val="32"/>
        </w:rPr>
        <w:t>完成省市县委、省市县政府对农村工作领导小组交办的其他任务。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（二十八）</w:t>
      </w:r>
      <w:r>
        <w:rPr>
          <w:rFonts w:hint="eastAsia" w:ascii="仿宋" w:hAnsi="仿宋" w:eastAsia="仿宋" w:cs="仿宋"/>
          <w:sz w:val="32"/>
          <w:szCs w:val="32"/>
        </w:rPr>
        <w:t>负责贯彻落实党中央、国务院，省委、省政府、市委、市政府和县委、县政府关于河长制的决策部署，办理县级总河长、县级河长交办的事项，协助县级总河长、县级河长对各部门履行河长制相关职责进行指导、协调、监督和考核。</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1160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5"/>
        <w:gridCol w:w="1135"/>
        <w:gridCol w:w="1277"/>
        <w:gridCol w:w="47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4744"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0"/>
              <w:rPr>
                <w:rFonts w:ascii="Times New Roman" w:hAnsi="Times New Roman" w:eastAsia="仿宋_GB2312" w:cs="Times New Roman"/>
                <w:szCs w:val="24"/>
              </w:rPr>
            </w:pPr>
          </w:p>
        </w:tc>
        <w:tc>
          <w:tcPr>
            <w:tcW w:w="113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0"/>
              <w:rPr>
                <w:rFonts w:ascii="Times New Roman" w:hAnsi="Times New Roman" w:eastAsia="仿宋_GB2312" w:cs="Times New Roman"/>
                <w:szCs w:val="24"/>
              </w:rPr>
            </w:pPr>
          </w:p>
        </w:tc>
        <w:tc>
          <w:tcPr>
            <w:tcW w:w="127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0"/>
              <w:rPr>
                <w:rFonts w:ascii="Times New Roman" w:hAnsi="Times New Roman" w:eastAsia="仿宋_GB2312" w:cs="Times New Roman"/>
                <w:szCs w:val="24"/>
              </w:rPr>
            </w:pPr>
          </w:p>
        </w:tc>
        <w:tc>
          <w:tcPr>
            <w:tcW w:w="4744"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left"/>
              <w:textAlignment w:val="auto"/>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大厂回族自治县农业农村局</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大厂回族自治县农业综合执法大队</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财政性资金定额或定向补助（差额事业）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大厂回族自治县农机服务站</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大厂回族自治县农产品检测中心</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大厂回族自治县“五个农业基层服务站”</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大厂回族自治县水利服务站</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财政性资金定额或定向补助（差额事业）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大厂回族自治县农广校</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4"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大厂回族自治县益恒制品有限公司</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财政性资金零补助（自收自支）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大厂回族自治县农机化研究所</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财政性资金基本保证（全额事业）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大厂回族自治县城乡供水总公司</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财政性资金零补助（自收自支）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3" w:hRule="atLeast"/>
          <w:jc w:val="center"/>
        </w:trPr>
        <w:tc>
          <w:tcPr>
            <w:tcW w:w="444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大厂回族自治县畜禽防疫站</w:t>
            </w:r>
          </w:p>
        </w:tc>
        <w:tc>
          <w:tcPr>
            <w:tcW w:w="113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事业</w:t>
            </w:r>
          </w:p>
        </w:tc>
        <w:tc>
          <w:tcPr>
            <w:tcW w:w="12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Times New Roman" w:hAnsi="Times New Roman" w:eastAsia="仿宋_GB2312" w:cs="Times New Roman"/>
                <w:b/>
                <w:lang w:eastAsia="zh-CN"/>
              </w:rPr>
            </w:pPr>
            <w:r>
              <w:rPr>
                <w:rFonts w:hint="eastAsia" w:ascii="Times New Roman" w:hAnsi="Times New Roman" w:eastAsia="仿宋_GB2312" w:cs="Times New Roman"/>
                <w:b/>
                <w:lang w:val="en-US" w:eastAsia="zh-CN"/>
              </w:rPr>
              <w:t>正股级</w:t>
            </w:r>
          </w:p>
        </w:tc>
        <w:tc>
          <w:tcPr>
            <w:tcW w:w="47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财政性资金零补助（自收自支）</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sz w:val="32"/>
          <w:szCs w:val="32"/>
        </w:rPr>
        <w:t>大厂回族自治县农业</w:t>
      </w:r>
      <w:r>
        <w:rPr>
          <w:rFonts w:hint="eastAsia" w:ascii="Times New Roman" w:hAnsi="Times New Roman" w:eastAsia="仿宋_GB2312"/>
          <w:sz w:val="32"/>
          <w:szCs w:val="32"/>
          <w:lang w:eastAsia="zh-CN"/>
        </w:rPr>
        <w:t>农村局</w:t>
      </w:r>
      <w:r>
        <w:rPr>
          <w:rFonts w:hint="eastAsia" w:ascii="Times New Roman" w:hAnsi="Times New Roman" w:eastAsia="仿宋_GB2312"/>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sz w:val="32"/>
          <w:szCs w:val="32"/>
        </w:rPr>
      </w:pPr>
      <w:r>
        <w:rPr>
          <w:rFonts w:ascii="Times New Roman" w:hAnsi="Times New Roman" w:eastAsia="仿宋_GB2312" w:cs="Times New Roman"/>
          <w:sz w:val="32"/>
          <w:szCs w:val="32"/>
        </w:rPr>
        <w:t>反映本部门当年全部收入。</w:t>
      </w:r>
      <w:r>
        <w:rPr>
          <w:rFonts w:hint="eastAsia" w:ascii="Times New Roman" w:hAnsi="Times New Roman" w:eastAsia="仿宋_GB2312"/>
          <w:sz w:val="32"/>
          <w:szCs w:val="32"/>
          <w:lang w:val="en-US" w:eastAsia="zh-CN"/>
        </w:rPr>
        <w:t>2020</w:t>
      </w:r>
      <w:r>
        <w:rPr>
          <w:rFonts w:hint="eastAsia" w:ascii="Times New Roman" w:hAnsi="Times New Roman" w:eastAsia="仿宋_GB2312"/>
          <w:sz w:val="32"/>
          <w:szCs w:val="32"/>
        </w:rPr>
        <w:t>年预算收入13290.41万元，其中：一般公共预算收入13290.41万元，基金预算收入0万元，财政专户核拨收入0万元，其他来源收入0万元（有则写，无则填</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收支预算总表支出栏、基本支出表、项目支出表按经济分类和支出功能分类科目编制，反映大厂回族自治县农业</w:t>
      </w:r>
      <w:r>
        <w:rPr>
          <w:rFonts w:hint="eastAsia" w:ascii="Times New Roman" w:hAnsi="Times New Roman" w:eastAsia="仿宋_GB2312"/>
          <w:sz w:val="32"/>
          <w:szCs w:val="32"/>
          <w:lang w:eastAsia="zh-CN"/>
        </w:rPr>
        <w:t>农村局</w:t>
      </w:r>
      <w:r>
        <w:rPr>
          <w:rFonts w:hint="eastAsia" w:ascii="Times New Roman" w:hAnsi="Times New Roman" w:eastAsia="仿宋_GB2312"/>
          <w:sz w:val="32"/>
          <w:szCs w:val="32"/>
        </w:rPr>
        <w:t>年度部门预算中支出预算的总体情况。</w:t>
      </w:r>
      <w:r>
        <w:rPr>
          <w:rFonts w:hint="eastAsia" w:ascii="Times New Roman" w:hAnsi="Times New Roman" w:eastAsia="仿宋_GB2312"/>
          <w:sz w:val="32"/>
          <w:szCs w:val="32"/>
          <w:lang w:val="en-US" w:eastAsia="zh-CN"/>
        </w:rPr>
        <w:t>2020</w:t>
      </w:r>
      <w:r>
        <w:rPr>
          <w:rFonts w:hint="eastAsia" w:ascii="Times New Roman" w:hAnsi="Times New Roman" w:eastAsia="仿宋_GB2312"/>
          <w:sz w:val="32"/>
          <w:szCs w:val="32"/>
        </w:rPr>
        <w:t>年支出预算13290.41万元，其中基本支出3279.44万元，包括人员经费2959.66万元和日常公用经费319.78万元；项目支出5308.99万元，包括本级支出</w:t>
      </w:r>
      <w:r>
        <w:rPr>
          <w:rFonts w:ascii="Times New Roman" w:hAnsi="Times New Roman" w:eastAsia="仿宋_GB2312"/>
          <w:sz w:val="32"/>
          <w:szCs w:val="32"/>
        </w:rPr>
        <w:t>548.68</w:t>
      </w:r>
      <w:r>
        <w:rPr>
          <w:rFonts w:hint="eastAsia" w:ascii="Times New Roman" w:hAnsi="Times New Roman" w:eastAsia="仿宋_GB2312"/>
          <w:sz w:val="32"/>
          <w:szCs w:val="32"/>
        </w:rPr>
        <w:t>万元，主要为</w:t>
      </w:r>
      <w:r>
        <w:rPr>
          <w:rFonts w:hint="eastAsia" w:ascii="Times New Roman" w:hAnsi="Times New Roman" w:eastAsia="仿宋_GB2312"/>
          <w:sz w:val="32"/>
          <w:szCs w:val="32"/>
          <w:lang w:val="en-US" w:eastAsia="zh-CN"/>
        </w:rPr>
        <w:t>农业农村</w:t>
      </w:r>
      <w:r>
        <w:rPr>
          <w:rFonts w:hint="eastAsia" w:ascii="Times New Roman" w:hAnsi="Times New Roman" w:eastAsia="仿宋_GB2312"/>
          <w:sz w:val="32"/>
          <w:szCs w:val="32"/>
        </w:rPr>
        <w:t>支出645.69</w:t>
      </w:r>
      <w:r>
        <w:rPr>
          <w:rFonts w:hint="eastAsia" w:ascii="Times New Roman" w:hAnsi="Times New Roman" w:eastAsia="仿宋_GB2312"/>
          <w:sz w:val="32"/>
          <w:szCs w:val="32"/>
          <w:lang w:val="en-US" w:eastAsia="zh-CN"/>
        </w:rPr>
        <w:t>万元、水利支出4208.3万元、</w:t>
      </w:r>
      <w:r>
        <w:rPr>
          <w:rFonts w:hint="eastAsia" w:ascii="Times New Roman" w:hAnsi="Times New Roman" w:eastAsia="仿宋_GB2312"/>
          <w:sz w:val="32"/>
          <w:szCs w:val="32"/>
        </w:rPr>
        <w:t>扶贫</w:t>
      </w:r>
      <w:r>
        <w:rPr>
          <w:rFonts w:hint="eastAsia" w:ascii="Times New Roman" w:hAnsi="Times New Roman" w:eastAsia="仿宋_GB2312"/>
          <w:sz w:val="32"/>
          <w:szCs w:val="32"/>
          <w:lang w:val="en-US" w:eastAsia="zh-CN"/>
        </w:rPr>
        <w:t>支出417</w:t>
      </w:r>
      <w:r>
        <w:rPr>
          <w:rFonts w:hint="eastAsia" w:ascii="Times New Roman" w:hAnsi="Times New Roman" w:eastAsia="仿宋_GB2312"/>
          <w:sz w:val="32"/>
          <w:szCs w:val="32"/>
        </w:rPr>
        <w:t>万元等。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年预算收支安排13290.41万元，较</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年预算增加</w:t>
      </w:r>
      <w:r>
        <w:rPr>
          <w:rFonts w:hint="eastAsia" w:ascii="Times New Roman" w:hAnsi="Times New Roman" w:eastAsia="仿宋_GB2312"/>
          <w:sz w:val="32"/>
          <w:szCs w:val="32"/>
          <w:lang w:val="en-US" w:eastAsia="zh-CN"/>
        </w:rPr>
        <w:t>11215.19</w:t>
      </w:r>
      <w:r>
        <w:rPr>
          <w:rFonts w:hint="eastAsia" w:ascii="Times New Roman" w:hAnsi="Times New Roman" w:eastAsia="仿宋_GB2312"/>
          <w:sz w:val="32"/>
          <w:szCs w:val="32"/>
        </w:rPr>
        <w:t>万元，其中：基本支出增加</w:t>
      </w:r>
      <w:r>
        <w:rPr>
          <w:rFonts w:hint="eastAsia" w:ascii="Times New Roman" w:hAnsi="Times New Roman" w:eastAsia="仿宋_GB2312"/>
          <w:sz w:val="32"/>
          <w:szCs w:val="32"/>
          <w:lang w:val="en-US" w:eastAsia="zh-CN"/>
        </w:rPr>
        <w:t>1752.9</w:t>
      </w:r>
      <w:r>
        <w:rPr>
          <w:rFonts w:hint="eastAsia" w:ascii="Times New Roman" w:hAnsi="Times New Roman" w:eastAsia="仿宋_GB2312"/>
          <w:sz w:val="32"/>
          <w:szCs w:val="32"/>
        </w:rPr>
        <w:t>万元，主要为人员支出；项目支出增加</w:t>
      </w:r>
      <w:r>
        <w:rPr>
          <w:rFonts w:hint="eastAsia" w:ascii="Times New Roman" w:hAnsi="Times New Roman" w:eastAsia="仿宋_GB2312"/>
          <w:sz w:val="32"/>
          <w:szCs w:val="32"/>
          <w:lang w:val="en-US" w:eastAsia="zh-CN"/>
        </w:rPr>
        <w:t>4760.31</w:t>
      </w:r>
      <w:r>
        <w:rPr>
          <w:rFonts w:hint="eastAsia" w:ascii="Times New Roman" w:hAnsi="Times New Roman" w:eastAsia="仿宋_GB2312"/>
          <w:sz w:val="32"/>
          <w:szCs w:val="32"/>
        </w:rPr>
        <w:t>万元，主要为</w:t>
      </w:r>
      <w:r>
        <w:rPr>
          <w:rFonts w:hint="eastAsia" w:ascii="Times New Roman" w:hAnsi="Times New Roman" w:eastAsia="仿宋_GB2312"/>
          <w:sz w:val="32"/>
          <w:szCs w:val="32"/>
          <w:lang w:val="en-US" w:eastAsia="zh-CN"/>
        </w:rPr>
        <w:t>水利项目、</w:t>
      </w:r>
      <w:r>
        <w:rPr>
          <w:rFonts w:hint="eastAsia" w:ascii="Times New Roman" w:hAnsi="Times New Roman" w:eastAsia="仿宋_GB2312"/>
          <w:sz w:val="32"/>
          <w:szCs w:val="32"/>
        </w:rPr>
        <w:t>扶贫项目</w:t>
      </w:r>
      <w:r>
        <w:rPr>
          <w:rFonts w:hint="eastAsia" w:ascii="Times New Roman" w:hAnsi="Times New Roman" w:eastAsia="仿宋_GB2312"/>
          <w:sz w:val="32"/>
          <w:szCs w:val="32"/>
          <w:lang w:val="en-US" w:eastAsia="zh-CN"/>
        </w:rPr>
        <w:t>等</w:t>
      </w:r>
      <w:r>
        <w:rPr>
          <w:rFonts w:hint="eastAsia" w:ascii="Times New Roman" w:hAnsi="Times New Roman" w:eastAsia="仿宋_GB2312"/>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rPr>
          <w:rFonts w:ascii="Times New Roman" w:hAnsi="Times New Roman" w:eastAsia="仿宋_GB2312" w:cs="Times New Roman"/>
          <w:sz w:val="32"/>
          <w:szCs w:val="32"/>
        </w:rPr>
      </w:pPr>
      <w:r>
        <w:rPr>
          <w:rFonts w:hint="eastAsia" w:ascii="Times New Roman" w:hAnsi="Times New Roman" w:eastAsia="仿宋_GB2312"/>
          <w:sz w:val="32"/>
          <w:szCs w:val="32"/>
          <w:lang w:val="en-US" w:eastAsia="zh-CN"/>
        </w:rPr>
        <w:t>2020</w:t>
      </w:r>
      <w:r>
        <w:rPr>
          <w:rFonts w:hint="eastAsia" w:ascii="Times New Roman" w:hAnsi="Times New Roman" w:eastAsia="仿宋_GB2312"/>
          <w:sz w:val="32"/>
          <w:szCs w:val="32"/>
        </w:rPr>
        <w:t>年，我部门机关运行经费共计安排</w:t>
      </w:r>
      <w:r>
        <w:rPr>
          <w:rFonts w:hint="eastAsia" w:ascii="Times New Roman" w:hAnsi="Times New Roman" w:eastAsia="仿宋_GB2312"/>
          <w:sz w:val="32"/>
          <w:szCs w:val="32"/>
          <w:lang w:val="en-US" w:eastAsia="zh-CN"/>
        </w:rPr>
        <w:t>319.78</w:t>
      </w:r>
      <w:r>
        <w:rPr>
          <w:rFonts w:hint="eastAsia" w:ascii="Times New Roman" w:hAnsi="Times New Roman" w:eastAsia="仿宋_GB2312"/>
          <w:sz w:val="32"/>
          <w:szCs w:val="32"/>
        </w:rPr>
        <w:t>万元，主要用于农业局部门机关办公区的日常维修、办公用房水电费、办公用房取暖费、办公用房物业管理费等日常运行支出。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2020</w:t>
      </w:r>
      <w:r>
        <w:rPr>
          <w:rFonts w:hint="eastAsia" w:ascii="Times New Roman" w:hAnsi="Times New Roman" w:eastAsia="仿宋_GB2312"/>
          <w:sz w:val="32"/>
          <w:szCs w:val="32"/>
        </w:rPr>
        <w:t>年，我局财政拨款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18.63</w:t>
      </w:r>
      <w:r>
        <w:rPr>
          <w:rFonts w:hint="eastAsia" w:ascii="Times New Roman" w:hAnsi="Times New Roman" w:eastAsia="仿宋_GB2312"/>
          <w:sz w:val="32"/>
          <w:szCs w:val="32"/>
        </w:rPr>
        <w:t>万元。其中，因公出国（境）费0万元；公务用车购置及运维费</w:t>
      </w:r>
      <w:r>
        <w:rPr>
          <w:rFonts w:hint="eastAsia" w:ascii="Times New Roman" w:hAnsi="Times New Roman" w:eastAsia="仿宋_GB2312"/>
          <w:sz w:val="32"/>
          <w:szCs w:val="32"/>
          <w:lang w:val="en-US" w:eastAsia="zh-CN"/>
        </w:rPr>
        <w:t>17.3</w:t>
      </w:r>
      <w:r>
        <w:rPr>
          <w:rFonts w:hint="eastAsia" w:ascii="Times New Roman" w:hAnsi="Times New Roman" w:eastAsia="仿宋_GB2312"/>
          <w:sz w:val="32"/>
          <w:szCs w:val="32"/>
        </w:rPr>
        <w:t>万元（其中：公务用车购置费为0万元，公务用车运维费</w:t>
      </w:r>
      <w:r>
        <w:rPr>
          <w:rFonts w:hint="eastAsia" w:ascii="Times New Roman" w:hAnsi="Times New Roman" w:eastAsia="仿宋_GB2312"/>
          <w:sz w:val="32"/>
          <w:szCs w:val="32"/>
          <w:lang w:val="en-US" w:eastAsia="zh-CN"/>
        </w:rPr>
        <w:t>17.3</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hint="eastAsia" w:ascii="Times New Roman" w:hAnsi="Times New Roman" w:eastAsia="仿宋_GB2312"/>
          <w:sz w:val="32"/>
          <w:szCs w:val="32"/>
          <w:lang w:val="en-US" w:eastAsia="zh-CN"/>
        </w:rPr>
        <w:t>1.33</w:t>
      </w:r>
      <w:r>
        <w:rPr>
          <w:rFonts w:hint="eastAsia"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17.3</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w:t>
      </w:r>
      <w:r>
        <w:rPr>
          <w:rFonts w:ascii="Times New Roman" w:hAnsi="Times New Roman" w:eastAsia="仿宋_GB2312"/>
          <w:sz w:val="32"/>
          <w:szCs w:val="32"/>
        </w:rPr>
        <w:t>201</w:t>
      </w:r>
      <w:r>
        <w:rPr>
          <w:rFonts w:hint="eastAsia" w:ascii="Times New Roman" w:hAnsi="Times New Roman" w:eastAsia="仿宋_GB2312"/>
          <w:sz w:val="32"/>
          <w:szCs w:val="32"/>
          <w:lang w:val="en-US" w:eastAsia="zh-CN"/>
        </w:rPr>
        <w:t>9</w:t>
      </w:r>
      <w:r>
        <w:rPr>
          <w:rFonts w:hint="eastAsia" w:ascii="Times New Roman" w:hAnsi="Times New Roman" w:eastAsia="仿宋_GB2312"/>
          <w:sz w:val="32"/>
          <w:szCs w:val="32"/>
        </w:rPr>
        <w:t>年相比增加</w:t>
      </w:r>
      <w:r>
        <w:rPr>
          <w:rFonts w:hint="eastAsia" w:ascii="Times New Roman" w:hAnsi="Times New Roman" w:eastAsia="仿宋_GB2312"/>
          <w:sz w:val="32"/>
          <w:szCs w:val="32"/>
          <w:lang w:val="en-US" w:eastAsia="zh-CN"/>
        </w:rPr>
        <w:t>9.8</w:t>
      </w:r>
      <w:r>
        <w:rPr>
          <w:rFonts w:hint="eastAsia" w:ascii="Times New Roman" w:hAnsi="Times New Roman" w:eastAsia="仿宋_GB2312"/>
          <w:sz w:val="32"/>
          <w:szCs w:val="32"/>
        </w:rPr>
        <w:t>万元，</w:t>
      </w:r>
      <w:r>
        <w:rPr>
          <w:rFonts w:hint="eastAsia" w:ascii="Times New Roman" w:hAnsi="Times New Roman" w:eastAsia="仿宋_GB2312" w:cs="Times New Roman"/>
          <w:sz w:val="32"/>
          <w:szCs w:val="32"/>
        </w:rPr>
        <w:t>主要原因是随机构改革职能划转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我单位由5个单位</w:t>
      </w:r>
      <w:r>
        <w:rPr>
          <w:rFonts w:hint="eastAsia" w:ascii="Times New Roman" w:hAnsi="Times New Roman" w:eastAsia="仿宋_GB2312"/>
          <w:sz w:val="32"/>
          <w:szCs w:val="32"/>
          <w:lang w:val="en-US" w:eastAsia="zh-CN"/>
        </w:rPr>
        <w:t>重组为1个单位，</w:t>
      </w:r>
      <w:r>
        <w:rPr>
          <w:rFonts w:hint="eastAsia" w:ascii="Times New Roman" w:hAnsi="Times New Roman" w:eastAsia="仿宋_GB2312"/>
          <w:sz w:val="32"/>
          <w:szCs w:val="32"/>
        </w:rPr>
        <w:t>车辆数量</w:t>
      </w:r>
      <w:r>
        <w:rPr>
          <w:rFonts w:hint="eastAsia" w:ascii="Times New Roman" w:hAnsi="Times New Roman" w:eastAsia="仿宋_GB2312"/>
          <w:sz w:val="32"/>
          <w:szCs w:val="32"/>
          <w:lang w:val="en-US" w:eastAsia="zh-CN"/>
        </w:rPr>
        <w:t>增加。</w:t>
      </w:r>
      <w:r>
        <w:rPr>
          <w:rFonts w:hint="eastAsia" w:ascii="Times New Roman" w:hAnsi="Times New Roman" w:eastAsia="仿宋_GB2312"/>
          <w:sz w:val="32"/>
          <w:szCs w:val="32"/>
        </w:rPr>
        <w:t>公务接待费增加</w:t>
      </w:r>
      <w:r>
        <w:rPr>
          <w:rFonts w:hint="eastAsia" w:ascii="Times New Roman" w:hAnsi="Times New Roman" w:eastAsia="仿宋_GB2312"/>
          <w:sz w:val="32"/>
          <w:szCs w:val="32"/>
          <w:lang w:val="en-US" w:eastAsia="zh-CN"/>
        </w:rPr>
        <w:t>1.33</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与2019年相比增加</w:t>
      </w:r>
      <w:r>
        <w:rPr>
          <w:rFonts w:hint="eastAsia" w:ascii="Times New Roman" w:hAnsi="Times New Roman" w:eastAsia="仿宋_GB2312"/>
          <w:sz w:val="32"/>
          <w:szCs w:val="32"/>
        </w:rPr>
        <w:t>0.</w:t>
      </w:r>
      <w:r>
        <w:rPr>
          <w:rFonts w:hint="eastAsia" w:ascii="Times New Roman" w:hAnsi="Times New Roman" w:eastAsia="仿宋_GB2312"/>
          <w:sz w:val="32"/>
          <w:szCs w:val="32"/>
          <w:lang w:val="en-US" w:eastAsia="zh-CN"/>
        </w:rPr>
        <w:t>91</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主要原因是</w:t>
      </w:r>
      <w:r>
        <w:rPr>
          <w:rFonts w:hint="eastAsia" w:ascii="Times New Roman" w:hAnsi="Times New Roman" w:eastAsia="仿宋_GB2312" w:cs="Times New Roman"/>
          <w:sz w:val="32"/>
          <w:szCs w:val="32"/>
        </w:rPr>
        <w:t>随机构改革职能划转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我单位</w:t>
      </w:r>
      <w:r>
        <w:rPr>
          <w:rFonts w:hint="eastAsia" w:ascii="Times New Roman" w:hAnsi="Times New Roman" w:eastAsia="仿宋_GB2312"/>
          <w:sz w:val="32"/>
          <w:szCs w:val="32"/>
          <w:lang w:val="en-US" w:eastAsia="zh-CN"/>
        </w:rPr>
        <w:t>机构重组人员增加。</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bookmarkStart w:id="0" w:name="_Toc471398463"/>
      <w:r>
        <w:rPr>
          <w:rFonts w:hint="eastAsia" w:ascii="Times New Roman" w:hAnsi="黑体" w:eastAsia="黑体" w:cs="Times New Roman"/>
          <w:sz w:val="32"/>
          <w:szCs w:val="32"/>
        </w:rPr>
        <w:t>第一部分 部门整体绩效目标</w:t>
      </w:r>
    </w:p>
    <w:p>
      <w:pPr>
        <w:spacing w:line="584" w:lineRule="exact"/>
        <w:ind w:firstLine="643" w:firstLineChars="200"/>
        <w:rPr>
          <w:rFonts w:ascii="Times New Roman" w:hAnsi="Times New Roman" w:eastAsia="楷体_GB2312" w:cs="Times New Roman"/>
          <w:b/>
          <w:sz w:val="32"/>
          <w:szCs w:val="32"/>
        </w:rPr>
      </w:pPr>
      <w:r>
        <w:rPr>
          <w:rFonts w:hint="eastAsia" w:ascii="楷体_GB2312" w:hAnsi="黑体" w:eastAsia="楷体_GB2312" w:cs="Times New Roman"/>
          <w:b/>
          <w:sz w:val="32"/>
          <w:szCs w:val="32"/>
        </w:rPr>
        <w:t>（一）总体绩效目标</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1、提高农产品产量和产量，优化农业产业结构，提高经济效益，增加农民收入。小麦、玉米、水稻、棉花良种补贴发放面积占当年种植面积的比例95%以上。</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提高农产品产量和产量，优化农业产业结构，提高经济效益，增加农民收入。重点扶持一批有规模、生产技术基础好、区域优势突出、在增加产量和提高质量上有示范带动作用的农产品生产基地。通过改善生产条件，加强产品质量管理，强化品牌建设，大力推进标准化、集约化、现代化生产。促进“菜篮子”产品生产向规模化、园区化、设施化、标准化和产销一体化发展。</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3、建设生态农业，改善农村环境，实现农业可持续发展。在全县范围内，实现农作物秸秆的高效能源化利用，推动农村厨房改造，解决秸秆乱堆乱放问题，减少大气污染排放，增加农村清洁能源供应。</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4、指导农业检验检测体系建设和机构考核，依法实施符合安全标准的农产品认证和监督管理。组织开展农产品质量安全的监督检查。加强农产品及农用化肥、药品监督检测，保障农产品质量，确保食品安全</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5、按照国家部署，组织开展职业教育和新型职业农民教育培训。培训与现代农业发展相适应的新型职业农民</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6、推进农村集体产权制度改革，完善农村土地承包制度，引导农村土地合理流转。创新农业经营主体。规范流转行为，优化资源配置，促进农民专业合作经济组织健康发展，加快新农村建设和城镇化进程指导全县建立运转顺畅、便捷高效的农村土地承包经营权流转服务平台，带动土地流转依法、有序开展</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7、根据国家要求开展农村土地承包经营确权登记试点，并逐步向全县全面推开。完成全县耕地面积50%的确权登记颁证目标。</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8、支持农民专业合作组织规范、健康发展。建立健全农村集体“三资”管理制度，盘活集体存量资产资源，拓宽集体增收渠道，促进农村集体资产保值增值。健全农村集体“三资”管理制度，指导农村经济组织健康、规范发展。</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9、加强机关事务性管理，开展机关自身能力建设。高效保障机关日常运转，工作任务100%完成。</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10、贯彻执行国家和省市县有关农业机械化方面的方针、政策和法律、法规，落实农业机械化方面的政策措施、管理制度、作业与服务规范，并进行监督。</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11、组织实施拖拉机、联合收割机及其他农用机械的安全监督管理，负责全县农机化技术教育、培训和农机行业职业技术考核等工作。</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12、负责全县农机新机具、新技术推广、农机驾驶操作人员的安全培训、管理，负责全县农业机械化专项资金的管理、使用及政府农机购置补贴等支农惠农政策的落实。</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13、负责农机安全生产的宣传、教育、组织及安全检查，纠正驾驶操作人员的违法行为，保障农机安全生产。</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14、负责全县农机服务体系建设，指导全县农机运用和农机管理服务组织的经营活动，协调指导农业机械有组织地跨区作业，农机维修网点建设和农机新技术推广工作。</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15、负责全县农业机械化发展的预测和统计工作，向上级主管部门承报月、季、年度统计报表，专题报告和工作总结。</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16、承办县委、县人民政府和上级主管部门交办的其他事项。</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17、农业科技支撑和公共服务，提高农业机械化水平，建立健全农业科技服务和防灾减灾体系，推动农业生产向现代农业发展。</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18、促进农业现代化，提高农业劳动生产率，增加农民收入。加强农产品及农用化肥、药品监督检测，保障农产品质量，确保食品安全。</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19、做好重大动物疫病防控工作，确保不发生重大动物疫情。继续推进重大动物疫病强制免疫工作，确保免疫密度达到100%，抗体水平合格率达到国家规定的标准。认真做好畜禽常见病和多发病的防控工作。加强重大动物疫情监测预警预报，完善突发重大动物疫情应急机制，认真落实资金、技术、物资“三项储备”，加强应急预备队建设，提高实战能力。</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20、加强畜产品安全监管，确保全年不发生畜产品安全事件。加强监督和跟踪检查，加大市场检查力度和抽检次数，发现问题产品及时严肃处理，保证兽药、饲料市场的产品质量安全;加大对养殖环节专项整治力度，从源头上保证畜产品质量安全。</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21、做好我县畜禽屠宰清理整顿工作。严厉打击私屠乱宰违法行为、加大肉品市场监管力度，规范畜禽屠宰行业，清除畜禽屠宰环节肉品质量安全事故风险隐患，为人民群众营造一个安全放心的肉品消费环境。</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22、强化动物及动物产品检疫监督。严格落实产地检疫申报制、报检卡制、出省调运备案制、卫生安全承诺制、责任制，确保产地检疫率达到100%；做好屠宰检疫工作，对上市的生鲜肉进行抽检，发现问题追根溯源，严肃查处。</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23、扎实推进“五城同建”各项工作。按照县委、县政府“五城同建”的要求和部署，我局将继续加强日常卫生保洁；注重搞好责任区域卫生；扎实开展定点屠宰企业达标行动。</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24、加强队伍建设，树立良好形象。畜牧系统将以学习宣传贯彻党的十九大和县委十一届二次全会精神为抓手，强化“四种意识”。全面提升广大干部职工的思想素质、道德素质、业务素质，强力推动我县现代畜牧业发展，为全县“五城同建”做出部门贡献。</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25、防汛抗旱工作。一是完善测报、预警、启动预案、指挥调度、抢险救灾、转移安置、灾后重建等系列机制。加强宣传增强公众的水患意识和责任意识，提升防灾减灾、避险自救能力。二是引足蓄好抗旱水源。协调通州水务局，引足蓄好抗旱丰收水，保农业增效、农民增收。同时在保障防汛抗旱工作的基础上适时调节河渠水量，冲洗黑臭水体，改善水系水质，优化水系环境。</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26、水利工程建设。一是完成大厂县城南湿地公园建设。二是继续实施鲍邱河治理工程。三是继续实施芦庄闸拆除重建工程。四是实施水系通航示范段项目建设。五是谋划实施大厂县鲍邱河潘各庄桥重建工程，工程估算总投资357万元。</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27、农田水利项目建设。一是谋划实施2018年农田水利设施维修养护项目，计划更新水闸闸门、启闭机，维修排水站管理房，估算投资40万元。二是谋划机井更新项目，计划于2018年实施机井更新项目，共计划更新机井18眼，预算投资100万元。</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28、农业水价综合改革工作。对农业水价综合改革工作进行总结，进一步完善协会和各项制度建设，查漏补缺，使我县的农业水价综合改革工作步入正轨。同时全面落实和规范水费收缴和奖补资金发放，并大力推广节水灌溉技术、积极探索用水管理创新。</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29、河长制工作。筹建我县河长制办公室，并依托县河长办全面落实相关制度，完成建档立卡管理及“一河一策”方案编制。</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30、完善城乡统一供水工作。一是完成夏垫镇区供水管网改造工程。二是完成第一、第二水厂配水管网贯通工程。三是完成县城供水管网更新改造工程。四是实施密涿高速大厂连接线及双马路迁改供水管线工程，工程总投资约为476万元。五是谋划实施第一水厂规划水源地供水水文地质勘察项目。</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31、开展河道及水利工程划界竖桩工作。通过进一步完善河道及水利工程划界竖桩工作，进一步规范水务部门对县管河道的管理工作。</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32、贷款贴息项目：一是邀请廊坊市益华会计师事务所对庆成肉类有限公司毛牛收购480万元流动资金贷款贴息加工项目进行审计；二是及时跟进福华公司毛牛收购2000万元流动资金贷款贴息项目，了解企业贷款使用及还款付息情况，保留利息支付原始凭证、还款凭证等原始资料，为贴息结算阶段做好准备。</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33、土地治理项目：根据国家办、省办下达的关于土地治理项目的新政策、新要求，结合近年土地开发成果，探索我县今后农业综合开发土地治理项目的申报方向，谋划筛选符合上级要求并适应我县三农工作发展的项目。</w:t>
      </w:r>
    </w:p>
    <w:p>
      <w:pPr>
        <w:spacing w:line="500" w:lineRule="exact"/>
        <w:ind w:firstLine="640" w:firstLineChars="200"/>
        <w:jc w:val="left"/>
        <w:outlineLvl w:val="9"/>
        <w:rPr>
          <w:rFonts w:hint="eastAsia" w:ascii="仿宋" w:hAnsi="仿宋" w:eastAsia="仿宋" w:cs="仿宋"/>
          <w:b w:val="0"/>
          <w:sz w:val="32"/>
          <w:szCs w:val="32"/>
          <w:u w:val="none"/>
        </w:rPr>
      </w:pPr>
      <w:r>
        <w:rPr>
          <w:rFonts w:hint="eastAsia" w:ascii="仿宋" w:hAnsi="仿宋" w:eastAsia="仿宋" w:cs="仿宋"/>
          <w:b w:val="0"/>
          <w:sz w:val="32"/>
          <w:szCs w:val="32"/>
          <w:u w:val="none"/>
        </w:rPr>
        <w:t>34、农业产业化：一是按规定程序如期拨付2017年市级农业产业化专项资金；二是对我县龙头企业进行调查，督促企业规范账目，筛选我县农业产业化重点项目，及时更新项目库，为申报2018年省市农业产业化专项扶持资金做好准备。</w:t>
      </w:r>
    </w:p>
    <w:p>
      <w:pPr>
        <w:spacing w:line="584" w:lineRule="exact"/>
        <w:ind w:firstLine="643" w:firstLineChars="20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1、水利闸桥工程。完成廊坊市鲍邱河（大康庄闸至赵各庄桥段）整治河道清淤13.09公里，发挥河道排涝蓄水功能；完成大厂县城南湿地公园占地166亩建设，通过工程建设，打造一个自然生态景色优美的湿地公园，为村民提供休闲娱乐场所，并成为我县生态文明建设组成部分；完成潘各庄桥重建1座，通过桥梁拆除重建，确保安全运行，保障人民生命财产安全。</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2、河渠管理范围划界标界，对我县总干、一分干渠、三分干渠等三条渠道进行划界标界工作，界桩制作及埋设，对河渠管理范围进行划界标界工作，以规范我县河渠管理。</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3、完善城乡统一供水工作。一是完成夏垫镇区供水管网造工程，新建DN600供水管线全长6587米。通过项目的开展实现为改善广大人民群众的生活条件，确保饮水安全，促进当地经济和各项社会事业的可持续发展。保障大厂县县城第一水厂及夏垫镇第二水厂两座水厂配水能力，同时形成双回路环状供水格局，大大提升供水的安全稳定性；二是完成第一、第二水厂配水管网贯通工程，新建供水管线全长7765.51米，通过项目的开展完成夏垫镇区供水管网改造工程建设，有效解决102中道以北的力宝国际（三号社区）等、102国道以南新建小区项目的用水问题，提升夏垫区域供水的安全稳定性；三是实施密涿高速大厂连接线及双马路迁改供水管线工程，新建供水管线全长2907米，通过项目的开展完成密涿高速公路大厂段互通连接线供水管线迁改工程，确保陈府镇区供用水安全。</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4、河北省畜禽（猪牛羊）视频定点屠宰厂追溯系统安装项目，对50家屠宰场安装摄像头等视频监控设备、53家屠宰场购置水分快速检测设备、视频监控设备终端存储盘。通过实施该项目，实现24小时实时在线监控，严格查处违法屠宰畜禽行为。</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5、农村土地承包经营权确权登记颁证。完成荣马坊、南贾各庄等确权工作，通过农村土地承包经营权确权登记颁证项目，测定承包地块空间位置，建立土地承包经营权登记簿，发放土地承包经营权证书，妥善解决承包地块面积不准、四至不清、空间位置不明等问题，依法赋予农民更加充分而有保障的土地承包经营权；农村土地承包经营纠纷调解仲裁。设立仲裁庭、合议调解室、案件受理室、档案会商室等固定仲裁场所，配备电脑、打印机、扫描仪、办公桌椅等办公设施等。通过农村土地承包经营纠纷调解仲裁项目，加强农村土地承包经营法律政策宣传，及时受理并依法调解仲裁土地承包经营纠纷，维护农民土地承包经营合法权益，促进农村社会和谐稳定。</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6、非洲猪瘟检测设备、试剂及非洲猪瘟防治经费。购置国产核酸提取仪一台，进口荧光定量PCR仪一台，非洲猪瘟检测试剂（非洲猪瘟病毒荧光PCR检测试剂盒12盒，DNA病毒基因组提取试剂盒12盒，每盒1000元。），购买消毒药品，每季度0.45吨，全年1.28吨。通过采购非洲猪瘟检测检测设备、试剂及防治非洲猪瘟消毒药品，以确保我县不发生非洲猪瘟疫情；县级农产品质量安全检测机构申请“双认证”，完成农产品检测设备工作及咨询，通过采购农产品检测设备、试剂耗材及咨询工作，以解决农产品质量安全隐患；兽医实验室污水处理系统。购置兽医实验室污水处理系统一台，农产品检测实验室污水处理器一台，通过采购污水处理器，以防止实验室污水污染环境。</w:t>
      </w:r>
    </w:p>
    <w:p>
      <w:pPr>
        <w:spacing w:line="584" w:lineRule="exact"/>
        <w:ind w:firstLine="643" w:firstLineChars="20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1、对生产者采取直接补贴的办法，支持推广优良品种。先进适用种养技术，实施科学管理,提高农产品产量、质量，提高生产经营效益。重点扶持一批有规模、生产技术基础好、区域优势突出、在在增加产量和提高质量上有示范带动作用的农产品生产基地。通过改善生产条件，加强产品质量管理，强化品牌建设，大力推进标准化、集约化、现代化生产。增加产量和提高质量上有示范带动作用的农产品生产基地。</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2、通过改善生产条件，加强产品质量管理，强化品牌建设，大力推进标准化、集约化、现代化生产。提高农业机械化水平，建立健全农业科技服务和防灾减灾体系，推动农业生产向现代农业发展。指导农业检验检测体系建设和机构考核，依法实施符合安全标准的农产品认证和监督。</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3、推进农村集体产权制度改革，完善农村土地承包制度，引导农村土地合理流转。支持农民专业合作组织规范、健康发展。建立健全农村集体“三资”管理制度，盘活集体存量资产资源，拓宽集体增收渠道，促进农村集体资产保值增值。</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4、开展农业宣传，推动农业政策落实。继续抓好农机大户、农机合作服务组织的建设工作。通过政策扶持、资金扶持、技术扶持大力发展农机合作服务组织，不断提高农业规模化经营水平，推动农村劳动力转移，为农业增产、农民增收注入新的活力。</w:t>
      </w:r>
      <w:r>
        <w:rPr>
          <w:rFonts w:hint="eastAsia" w:ascii="仿宋_GB2312" w:hAnsi="仿宋_GB2312" w:eastAsia="仿宋_GB2312" w:cs="仿宋_GB2312"/>
          <w:b w:val="0"/>
          <w:sz w:val="32"/>
          <w:szCs w:val="32"/>
          <w:u w:val="none"/>
        </w:rPr>
        <w:br w:type="textWrapping"/>
      </w:r>
      <w:r>
        <w:rPr>
          <w:rFonts w:hint="eastAsia" w:ascii="仿宋_GB2312" w:hAnsi="仿宋_GB2312" w:eastAsia="仿宋_GB2312" w:cs="仿宋_GB2312"/>
          <w:b w:val="0"/>
          <w:sz w:val="32"/>
          <w:szCs w:val="32"/>
          <w:u w:val="none"/>
        </w:rPr>
        <w:t>　　5、不断强化农机安全监理工作。以提高“三率”为主要目标，重点搞好农机安全监管的源头管理，引导机手自觉参加年度检审,力争年检率达到90%以上。在全县范围内开展农机普查工作，调查摸清全县农机的数量、分布、使用及拥有情况，并建立普查台帐。</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6、深入开展重大动物疫病防控工作。组织开展春秋两季重大动物疫病防控工作，对畜禽进行全覆盖强制免疫，加强动物疫情监测，全面彻底进行消毒，积极做好H7N9流感防控工作，确保我县不发生重大动物疫情。</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7、加强畜产品质量安全监管。突出监管工作重点，落实监管责任。开展畜产品安全隐患排查；“瘦肉精”专项整治行动；农资打假专项治理行动；畜禽水产品抗生素、禁用化合物及兽药残留超标专项整治行动；抓好无公害畜产品产地认定与产品认证工作。</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8、强化动物及动物产品检疫监督。加强动物产地检疫、屠宰检疫、监督管理工作，加快我县的病死动物无害化处理机制建设。严查畜禽屠宰企业肉品打水注水、屠宰病死畜禽和私屠滥宰等违法案件。</w:t>
      </w:r>
    </w:p>
    <w:p>
      <w:pPr>
        <w:spacing w:line="500" w:lineRule="exact"/>
        <w:ind w:firstLine="640" w:firstLineChars="200"/>
        <w:jc w:val="left"/>
        <w:outlineLvl w:val="9"/>
        <w:rPr>
          <w:rFonts w:hint="eastAsia" w:ascii="仿宋_GB2312" w:hAnsi="仿宋_GB2312" w:eastAsia="仿宋_GB2312" w:cs="仿宋_GB2312"/>
          <w:b w:val="0"/>
          <w:sz w:val="32"/>
          <w:szCs w:val="32"/>
          <w:u w:val="none"/>
        </w:rPr>
      </w:pPr>
      <w:r>
        <w:rPr>
          <w:rFonts w:hint="eastAsia" w:ascii="仿宋_GB2312" w:hAnsi="仿宋_GB2312" w:eastAsia="仿宋_GB2312" w:cs="仿宋_GB2312"/>
          <w:b w:val="0"/>
          <w:sz w:val="32"/>
          <w:szCs w:val="32"/>
          <w:u w:val="none"/>
        </w:rPr>
        <w:t>9、抓好各项制度建设。进一步深化机关的学习进修、上班签到、公务用车使用等一系列制度。坚持从细微处抓起，从焦点处抓起，把关注点管住管好，促进文明、节约型机关建设。为推动水务职能工作起到巨大的保障作用。</w:t>
      </w:r>
    </w:p>
    <w:p>
      <w:pPr>
        <w:spacing w:line="500" w:lineRule="exact"/>
        <w:ind w:firstLine="640" w:firstLineChars="200"/>
        <w:jc w:val="left"/>
        <w:outlineLvl w:val="9"/>
        <w:rPr>
          <w:rFonts w:hint="default" w:eastAsia="楷体_GB2312"/>
          <w:lang w:val="en-US" w:eastAsia="zh-CN"/>
        </w:rPr>
      </w:pPr>
      <w:r>
        <w:rPr>
          <w:rFonts w:hint="eastAsia" w:ascii="仿宋_GB2312" w:hAnsi="仿宋_GB2312" w:eastAsia="仿宋_GB2312" w:cs="仿宋_GB2312"/>
          <w:b w:val="0"/>
          <w:sz w:val="32"/>
          <w:szCs w:val="32"/>
          <w:u w:val="none"/>
        </w:rPr>
        <w:t>10、切实加强队伍能力建设。以“三严三实”主题教育活动为主线，推动水务队伍建设整体发展，坚持狠抓队伍规范管理、增强职工工作水平、加强平时学习，激励引导广大水务职工立足本职、苦练基本功，不断提高业务素质和职业化水平，始终保持水务队伍的蓬勃朝气。</w:t>
      </w:r>
      <w:r>
        <w:rPr>
          <w:rFonts w:hint="eastAsia" w:ascii="Times New Roman" w:hAnsi="方正仿宋_GBK" w:eastAsia="方正仿宋_GBK" w:cs="方正仿宋_GBK"/>
          <w:b w:val="0"/>
          <w:sz w:val="28"/>
          <w:u w:val="none"/>
        </w:rPr>
        <w:t xml:space="preserve"> </w:t>
      </w:r>
    </w:p>
    <w:p>
      <w:pPr>
        <w:spacing w:line="584" w:lineRule="exact"/>
        <w:ind w:firstLine="640" w:firstLineChars="200"/>
        <w:rPr>
          <w:rFonts w:hint="eastAsia" w:ascii="Times New Roman" w:hAnsi="黑体" w:eastAsia="黑体" w:cs="Times New Roman"/>
          <w:sz w:val="32"/>
          <w:szCs w:val="32"/>
        </w:rPr>
      </w:pPr>
      <w:r>
        <w:rPr>
          <w:rFonts w:hint="eastAsia" w:ascii="Times New Roman" w:hAnsi="黑体" w:eastAsia="黑体" w:cs="Times New Roman"/>
          <w:sz w:val="32"/>
          <w:szCs w:val="32"/>
        </w:rPr>
        <w:t>第二部分 资金绩效目标</w:t>
      </w:r>
    </w:p>
    <w:bookmarkEnd w:id="0"/>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1、2018年度中央水利发展资金（地下水超采综合治理）绩效目标表</w:t>
      </w:r>
      <w:bookmarkStart w:id="1" w:name="_Toc520"/>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1、2018年度中央水利发展资金（地下水超采综合治理）绩效目标表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
    </w:p>
    <w:tbl>
      <w:tblPr>
        <w:tblStyle w:val="10"/>
        <w:tblW w:w="131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7"/>
        <w:gridCol w:w="112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25"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1、在全县（大厂镇、夏垫镇、祁各庄镇及邵府镇）7户非农取用水户安装改造计量设施20套</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2、在全县（大厂镇、夏垫镇、祁各庄镇及邵府镇）7户非农取用水户安装改造计量设施20套</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9"/>
        <w:gridCol w:w="2205"/>
        <w:gridCol w:w="2745"/>
        <w:gridCol w:w="3240"/>
        <w:gridCol w:w="1425"/>
        <w:gridCol w:w="22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20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7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2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20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计量设施数量</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非农取用水户水量在线监测站点</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≥15个</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运行正常</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非农取用水户水量在线监测站点</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≥0等级</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反应及时</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非农取用水户水量在线监测站点</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≤24小时</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实现对重要取水户取用水情况的实时监管，大大减少偷取水资源现象的发生，利用水资源税的强制性，提高水资源税的征收到位率。</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提高监管效率，大大降低行政监管成本</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生态效益指标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能够较为直观的分析观察非农取用水户水量的使用情况、地下水量的开采情况</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对于地下水压采效果评估、用水量分析、节水潜能分析均具有一定的指导意义。</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7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2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840" w:firstLineChars="3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2、2020年基层兽医生活补贴绩效目标表</w:t>
      </w:r>
      <w:bookmarkStart w:id="2" w:name="_Toc16268"/>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2、2020年基层兽医生活补贴绩效目标表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
    </w:p>
    <w:tbl>
      <w:tblPr>
        <w:tblStyle w:val="10"/>
        <w:tblW w:w="132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1"/>
        <w:gridCol w:w="11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85" w:hRule="atLeast"/>
          <w:jc w:val="center"/>
        </w:trPr>
        <w:tc>
          <w:tcPr>
            <w:tcW w:w="1411"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88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1、通过发放基层兽医生活补贴，以解决基层兽医人员生活困难和养老问题。</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2、通过发放基层兽医生活补贴，以解决基层兽医人员生活困难和养老问题。</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3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5"/>
        <w:gridCol w:w="1515"/>
        <w:gridCol w:w="1755"/>
        <w:gridCol w:w="3360"/>
        <w:gridCol w:w="1740"/>
        <w:gridCol w:w="34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6" w:hRule="atLeast"/>
          <w:tblHeader/>
          <w:jc w:val="center"/>
        </w:trPr>
        <w:tc>
          <w:tcPr>
            <w:tcW w:w="14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3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7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48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22" w:hRule="atLeast"/>
          <w:jc w:val="center"/>
        </w:trPr>
        <w:tc>
          <w:tcPr>
            <w:tcW w:w="1445"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人数</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享受基层兽医补贴人数</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16人</w:t>
            </w:r>
          </w:p>
        </w:tc>
        <w:tc>
          <w:tcPr>
            <w:tcW w:w="348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《大厂回族自治县为原乡镇（公社）农技员农技员基层兽医发放生活补贴的实施方案》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0" w:hRule="atLeast"/>
          <w:jc w:val="center"/>
        </w:trPr>
        <w:tc>
          <w:tcPr>
            <w:tcW w:w="1445"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补贴率</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享受补贴人数占总人数的比率</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100比率</w:t>
            </w:r>
          </w:p>
        </w:tc>
        <w:tc>
          <w:tcPr>
            <w:tcW w:w="348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8" w:hRule="atLeast"/>
          <w:jc w:val="center"/>
        </w:trPr>
        <w:tc>
          <w:tcPr>
            <w:tcW w:w="1445"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补贴发放完成时间</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348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5" w:hRule="atLeast"/>
          <w:jc w:val="center"/>
        </w:trPr>
        <w:tc>
          <w:tcPr>
            <w:tcW w:w="14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个人及家庭补贴</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享受补贴人数占总人数的比率</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348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53" w:hRule="atLeast"/>
          <w:jc w:val="center"/>
        </w:trPr>
        <w:tc>
          <w:tcPr>
            <w:tcW w:w="14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基层兽医满意度</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基层兽医对补贴满意度</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48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3、2020年县级财政专项扶贫资金绩效目标表</w:t>
      </w:r>
      <w:bookmarkStart w:id="3" w:name="_Toc29997"/>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3、2020年县级财政专项扶贫资金绩效目标表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
    </w:p>
    <w:tbl>
      <w:tblPr>
        <w:tblStyle w:val="10"/>
        <w:tblW w:w="131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5"/>
        <w:gridCol w:w="11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153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61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1、通过此项目实施，增加贫困户收入。</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2、通过此项目实施，增加贫困户收入。</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1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9"/>
        <w:gridCol w:w="2394"/>
        <w:gridCol w:w="2325"/>
        <w:gridCol w:w="2769"/>
        <w:gridCol w:w="1406"/>
        <w:gridCol w:w="2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6" w:hRule="atLeast"/>
          <w:tblHeader/>
          <w:jc w:val="center"/>
        </w:trPr>
        <w:tc>
          <w:tcPr>
            <w:tcW w:w="150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39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3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76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0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75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3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3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7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扶贫户数</w:t>
            </w:r>
          </w:p>
        </w:tc>
        <w:tc>
          <w:tcPr>
            <w:tcW w:w="14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102户</w:t>
            </w:r>
          </w:p>
        </w:tc>
        <w:tc>
          <w:tcPr>
            <w:tcW w:w="27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根据我县实际贫困户数量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jc w:val="center"/>
        </w:trPr>
        <w:tc>
          <w:tcPr>
            <w:tcW w:w="150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3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3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7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扶贫全覆盖</w:t>
            </w:r>
          </w:p>
        </w:tc>
        <w:tc>
          <w:tcPr>
            <w:tcW w:w="14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7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根据我县实际贫困脱贫目标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22" w:hRule="atLeast"/>
          <w:jc w:val="center"/>
        </w:trPr>
        <w:tc>
          <w:tcPr>
            <w:tcW w:w="150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3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3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7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14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27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根据我县脱贫工作完成时间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2" w:hRule="atLeast"/>
          <w:jc w:val="center"/>
        </w:trPr>
        <w:tc>
          <w:tcPr>
            <w:tcW w:w="150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3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3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7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收益建档立卡贫困人口数</w:t>
            </w:r>
          </w:p>
        </w:tc>
        <w:tc>
          <w:tcPr>
            <w:tcW w:w="14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201人</w:t>
            </w:r>
          </w:p>
        </w:tc>
        <w:tc>
          <w:tcPr>
            <w:tcW w:w="27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根据我县脱贫实际人口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50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3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3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7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贫困户满意度</w:t>
            </w:r>
          </w:p>
        </w:tc>
        <w:tc>
          <w:tcPr>
            <w:tcW w:w="14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7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根据我县脱贫实际情况</w:t>
            </w:r>
          </w:p>
        </w:tc>
      </w:tr>
    </w:tbl>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4、办公用房改造款绩效目标表</w:t>
      </w:r>
      <w:bookmarkStart w:id="4" w:name="_Toc7470"/>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4、办公用房改造款绩效目标表 \f C \l 1 </w:instrText>
      </w:r>
      <w:r>
        <w:rPr>
          <w:rFonts w:hint="eastAsia" w:ascii="方正仿宋_GBK" w:hAnsi="方正仿宋_GBK" w:eastAsia="方正仿宋_GBK" w:cs="方正仿宋_GBK"/>
          <w:b w:val="0"/>
          <w:bCs/>
          <w:sz w:val="28"/>
          <w:szCs w:val="28"/>
          <w:u w:val="none"/>
          <w:lang w:eastAsia="zh-CN"/>
        </w:rPr>
        <w:fldChar w:fldCharType="end"/>
      </w:r>
      <w:bookmarkEnd w:id="4"/>
    </w:p>
    <w:tbl>
      <w:tblPr>
        <w:tblStyle w:val="10"/>
        <w:tblW w:w="130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6"/>
        <w:gridCol w:w="114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95" w:hRule="atLeast"/>
          <w:jc w:val="center"/>
        </w:trPr>
        <w:tc>
          <w:tcPr>
            <w:tcW w:w="1596"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46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1、通过项目的开展确保我局机构改革整体部分办公用房的安排部署，达到预期效果，为日常办公提供保障。</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2、通过项目的开展确保我局机构改革整体部分办公用房的安排部署，达到预期效果，为日常办公提供保障。</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0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77"/>
        <w:gridCol w:w="1577"/>
        <w:gridCol w:w="1983"/>
        <w:gridCol w:w="3817"/>
        <w:gridCol w:w="1775"/>
        <w:gridCol w:w="23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7" w:hRule="atLeast"/>
          <w:tblHeader/>
          <w:jc w:val="center"/>
        </w:trPr>
        <w:tc>
          <w:tcPr>
            <w:tcW w:w="157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7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98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81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7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36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0" w:hRule="atLeast"/>
          <w:jc w:val="center"/>
        </w:trPr>
        <w:tc>
          <w:tcPr>
            <w:tcW w:w="1577"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7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9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办公区数量</w:t>
            </w:r>
          </w:p>
        </w:tc>
        <w:tc>
          <w:tcPr>
            <w:tcW w:w="381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办公B区数量</w:t>
            </w:r>
          </w:p>
        </w:tc>
        <w:tc>
          <w:tcPr>
            <w:tcW w:w="17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1区</w:t>
            </w:r>
          </w:p>
        </w:tc>
        <w:tc>
          <w:tcPr>
            <w:tcW w:w="236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1577"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7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9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381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通过专家验收</w:t>
            </w:r>
          </w:p>
        </w:tc>
        <w:tc>
          <w:tcPr>
            <w:tcW w:w="17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等级合格</w:t>
            </w:r>
          </w:p>
        </w:tc>
        <w:tc>
          <w:tcPr>
            <w:tcW w:w="236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5" w:hRule="atLeast"/>
          <w:jc w:val="center"/>
        </w:trPr>
        <w:tc>
          <w:tcPr>
            <w:tcW w:w="1577"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7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9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81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工程完工时间</w:t>
            </w:r>
          </w:p>
        </w:tc>
        <w:tc>
          <w:tcPr>
            <w:tcW w:w="17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4月份</w:t>
            </w:r>
          </w:p>
        </w:tc>
        <w:tc>
          <w:tcPr>
            <w:tcW w:w="236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月份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39" w:hRule="atLeast"/>
          <w:jc w:val="center"/>
        </w:trPr>
        <w:tc>
          <w:tcPr>
            <w:tcW w:w="157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7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19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安全办公事故次数</w:t>
            </w:r>
          </w:p>
        </w:tc>
        <w:tc>
          <w:tcPr>
            <w:tcW w:w="381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年度安全办公事故次数</w:t>
            </w:r>
          </w:p>
        </w:tc>
        <w:tc>
          <w:tcPr>
            <w:tcW w:w="17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≤1次</w:t>
            </w:r>
          </w:p>
        </w:tc>
        <w:tc>
          <w:tcPr>
            <w:tcW w:w="236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实际次数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157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7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9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职工满意度</w:t>
            </w:r>
          </w:p>
        </w:tc>
        <w:tc>
          <w:tcPr>
            <w:tcW w:w="381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职工对工程质量的满意度</w:t>
            </w:r>
          </w:p>
        </w:tc>
        <w:tc>
          <w:tcPr>
            <w:tcW w:w="17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36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5、鲍邱河公园至芦庄钢坝河流沿岸景观改造提升工程款绩效目标表</w:t>
      </w:r>
      <w:bookmarkStart w:id="5" w:name="_Toc20524"/>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5、鲍邱河公园至芦庄钢坝河流沿岸景观改造提升工程款绩效目标表 \f C \l 1 </w:instrText>
      </w:r>
      <w:r>
        <w:rPr>
          <w:rFonts w:hint="eastAsia" w:ascii="方正仿宋_GBK" w:hAnsi="方正仿宋_GBK" w:eastAsia="方正仿宋_GBK" w:cs="方正仿宋_GBK"/>
          <w:b w:val="0"/>
          <w:bCs/>
          <w:sz w:val="28"/>
          <w:szCs w:val="28"/>
          <w:u w:val="none"/>
          <w:lang w:eastAsia="zh-CN"/>
        </w:rPr>
        <w:fldChar w:fldCharType="end"/>
      </w:r>
      <w:bookmarkEnd w:id="5"/>
    </w:p>
    <w:tbl>
      <w:tblPr>
        <w:tblStyle w:val="10"/>
        <w:tblW w:w="128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62"/>
        <w:gridCol w:w="112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0" w:hRule="atLeast"/>
          <w:jc w:val="center"/>
        </w:trPr>
        <w:tc>
          <w:tcPr>
            <w:tcW w:w="1562"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5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1、通过实施本项目，以有效解决原鲍邱河公园及水务绿化带管护缺失问题，为人民群众打造城北休闲场所。</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2、通过实施本项目，以有效解决原鲍邱河公园及水务绿化带管护缺失问题，为人民群众打造城北休闲场所。</w:t>
            </w:r>
          </w:p>
        </w:tc>
      </w:tr>
    </w:tbl>
    <w:tbl>
      <w:tblPr>
        <w:tblStyle w:val="10"/>
        <w:tblpPr w:leftFromText="180" w:rightFromText="180" w:vertAnchor="text" w:horzAnchor="page" w:tblpX="1697" w:tblpY="36"/>
        <w:tblOverlap w:val="never"/>
        <w:tblW w:w="1281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0"/>
        <w:gridCol w:w="2010"/>
        <w:gridCol w:w="2145"/>
        <w:gridCol w:w="3825"/>
        <w:gridCol w:w="1290"/>
        <w:gridCol w:w="19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1" w:hRule="atLeast"/>
          <w:tblHeader/>
        </w:trPr>
        <w:tc>
          <w:tcPr>
            <w:tcW w:w="15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01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1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8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95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atLeast"/>
        </w:trPr>
        <w:tc>
          <w:tcPr>
            <w:tcW w:w="159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0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1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工程质量合格率</w:t>
            </w:r>
          </w:p>
        </w:tc>
        <w:tc>
          <w:tcPr>
            <w:tcW w:w="38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建筑工程达到设计结构或标准的程度</w:t>
            </w:r>
          </w:p>
        </w:tc>
        <w:tc>
          <w:tcPr>
            <w:tcW w:w="12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9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trPr>
        <w:tc>
          <w:tcPr>
            <w:tcW w:w="159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0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1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工程按期完成率(%)</w:t>
            </w:r>
          </w:p>
        </w:tc>
        <w:tc>
          <w:tcPr>
            <w:tcW w:w="38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按期完成的工程量占总工程量的比率</w:t>
            </w:r>
          </w:p>
        </w:tc>
        <w:tc>
          <w:tcPr>
            <w:tcW w:w="12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9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83" w:hRule="atLeast"/>
        </w:trPr>
        <w:tc>
          <w:tcPr>
            <w:tcW w:w="159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0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1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8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工程验收完成时间</w:t>
            </w:r>
          </w:p>
        </w:tc>
        <w:tc>
          <w:tcPr>
            <w:tcW w:w="12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19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trPr>
        <w:tc>
          <w:tcPr>
            <w:tcW w:w="15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0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21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设计功能实现率</w:t>
            </w:r>
          </w:p>
        </w:tc>
        <w:tc>
          <w:tcPr>
            <w:tcW w:w="38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建筑工程达到设计结构或标准的程度</w:t>
            </w:r>
          </w:p>
        </w:tc>
        <w:tc>
          <w:tcPr>
            <w:tcW w:w="12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9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7" w:hRule="atLeast"/>
        </w:trPr>
        <w:tc>
          <w:tcPr>
            <w:tcW w:w="15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0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1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受益群体满意度(%)</w:t>
            </w:r>
          </w:p>
        </w:tc>
        <w:tc>
          <w:tcPr>
            <w:tcW w:w="38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受益群体调查中,满意和较满意的人数占全部调查人数的比率</w:t>
            </w:r>
          </w:p>
        </w:tc>
        <w:tc>
          <w:tcPr>
            <w:tcW w:w="12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19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6、大厂回族自治县畜禽防治站专项经费绩效目标表</w:t>
      </w:r>
      <w:bookmarkStart w:id="6" w:name="_Toc25893"/>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6、大厂回族自治县畜禽防治站专项经费绩效目标表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6"/>
    </w:p>
    <w:tbl>
      <w:tblPr>
        <w:tblStyle w:val="10"/>
        <w:tblW w:w="129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3"/>
        <w:gridCol w:w="112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90" w:hRule="atLeast"/>
          <w:jc w:val="center"/>
        </w:trPr>
        <w:tc>
          <w:tcPr>
            <w:tcW w:w="1713"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35"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1、通过项目的开展完成全额拨付，实现单位职工养老、医疗保障及遗属的生活经济来源问题，从而保证职工基本养老保险、医疗保险和遗属的生活保障问题。</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2、通过项目的开展完成全额拨付，实现单位职工养老、医疗保障及遗属的生活经济来源问题，从而保证职工基本养老保险、医疗保险和遗属的生活保障问题。</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0"/>
        <w:gridCol w:w="1665"/>
        <w:gridCol w:w="1875"/>
        <w:gridCol w:w="3422"/>
        <w:gridCol w:w="1395"/>
        <w:gridCol w:w="2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5" w:hRule="atLeast"/>
          <w:tblHeader/>
          <w:jc w:val="center"/>
        </w:trPr>
        <w:tc>
          <w:tcPr>
            <w:tcW w:w="16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8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42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9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89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83" w:hRule="atLeast"/>
          <w:jc w:val="center"/>
        </w:trPr>
        <w:tc>
          <w:tcPr>
            <w:tcW w:w="164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人数</w:t>
            </w:r>
          </w:p>
        </w:tc>
        <w:tc>
          <w:tcPr>
            <w:tcW w:w="342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享受养老、医疗及遗属保障人数</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≥8人</w:t>
            </w:r>
          </w:p>
        </w:tc>
        <w:tc>
          <w:tcPr>
            <w:tcW w:w="28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根据县政府2017年至今一直把这个专项资金列入经常性财政预算,每年度做下一年度的项目预算时都给与列支，编入预算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4" w:hRule="atLeast"/>
          <w:jc w:val="center"/>
        </w:trPr>
        <w:tc>
          <w:tcPr>
            <w:tcW w:w="164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拨付率</w:t>
            </w:r>
          </w:p>
        </w:tc>
        <w:tc>
          <w:tcPr>
            <w:tcW w:w="342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已拨付资金/应拨付资金</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8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依据拨付资金证明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9" w:hRule="atLeast"/>
          <w:jc w:val="center"/>
        </w:trPr>
        <w:tc>
          <w:tcPr>
            <w:tcW w:w="164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42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拨付完成时间（工作节点）</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8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依据拨付资金证明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人数</w:t>
            </w:r>
          </w:p>
        </w:tc>
        <w:tc>
          <w:tcPr>
            <w:tcW w:w="342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享受养老、医疗及遗属保障人数</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≥8人</w:t>
            </w:r>
          </w:p>
        </w:tc>
        <w:tc>
          <w:tcPr>
            <w:tcW w:w="28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依据拨付资金证明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2" w:hRule="atLeast"/>
          <w:jc w:val="center"/>
        </w:trPr>
        <w:tc>
          <w:tcPr>
            <w:tcW w:w="16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职工及遗属满意度</w:t>
            </w:r>
          </w:p>
        </w:tc>
        <w:tc>
          <w:tcPr>
            <w:tcW w:w="342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职工及遗属对拨付资金是否及时到位的满意度</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8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通过需求满意度调研</w:t>
            </w:r>
          </w:p>
        </w:tc>
      </w:tr>
    </w:tbl>
    <w:p>
      <w:pPr>
        <w:jc w:val="left"/>
        <w:outlineLvl w:val="1"/>
        <w:rPr>
          <w:rFonts w:hint="eastAsia" w:ascii="方正仿宋_GBK" w:hAnsi="方正仿宋_GBK" w:eastAsia="方正仿宋_GBK" w:cs="方正仿宋_GBK"/>
          <w:b w:val="0"/>
          <w:bCs/>
          <w:sz w:val="28"/>
          <w:szCs w:val="28"/>
          <w:u w:val="none"/>
          <w:lang w:eastAsia="zh-CN"/>
        </w:rPr>
      </w:pPr>
    </w:p>
    <w:p>
      <w:pPr>
        <w:pStyle w:val="2"/>
        <w:rPr>
          <w:rFonts w:hint="eastAsia"/>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7、大厂县城南湿地公园建设绩效目标表</w:t>
      </w:r>
      <w:bookmarkStart w:id="7" w:name="_Toc20368"/>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7、大厂县城南湿地公园建设绩效目标表 \f C \l 1 </w:instrText>
      </w:r>
      <w:r>
        <w:rPr>
          <w:rFonts w:hint="eastAsia" w:ascii="方正仿宋_GBK" w:hAnsi="方正仿宋_GBK" w:eastAsia="方正仿宋_GBK" w:cs="方正仿宋_GBK"/>
          <w:b w:val="0"/>
          <w:bCs/>
          <w:sz w:val="28"/>
          <w:szCs w:val="28"/>
          <w:u w:val="none"/>
          <w:lang w:eastAsia="zh-CN"/>
        </w:rPr>
        <w:fldChar w:fldCharType="end"/>
      </w:r>
      <w:bookmarkEnd w:id="7"/>
    </w:p>
    <w:tbl>
      <w:tblPr>
        <w:tblStyle w:val="10"/>
        <w:tblW w:w="1293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5"/>
        <w:gridCol w:w="1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jc w:val="center"/>
        </w:trPr>
        <w:tc>
          <w:tcPr>
            <w:tcW w:w="129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63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1、通过工程建设，打造一个自然生态景色优美的湿地公园，为村民提供休闲娱乐场所，并成为我县生态文明建设组成部分。</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2、通过工程建设，打造一个自然生态景色优美的湿地公园，为村民提供休闲娱乐场所，并成为我县生态文明建设组成部分。</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pPr w:leftFromText="180" w:rightFromText="180" w:vertAnchor="text" w:horzAnchor="page" w:tblpX="1622" w:tblpY="36"/>
        <w:tblOverlap w:val="never"/>
        <w:tblW w:w="1296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6"/>
        <w:gridCol w:w="1616"/>
        <w:gridCol w:w="1818"/>
        <w:gridCol w:w="4123"/>
        <w:gridCol w:w="1818"/>
        <w:gridCol w:w="2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 w:hRule="atLeast"/>
          <w:tblHeader/>
        </w:trPr>
        <w:tc>
          <w:tcPr>
            <w:tcW w:w="139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1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81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12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81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18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0" w:hRule="atLeast"/>
        </w:trPr>
        <w:tc>
          <w:tcPr>
            <w:tcW w:w="1396"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建设面积</w:t>
            </w:r>
          </w:p>
        </w:tc>
        <w:tc>
          <w:tcPr>
            <w:tcW w:w="41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湿地公园占地面积</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166亩</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0" w:hRule="atLeast"/>
        </w:trPr>
        <w:tc>
          <w:tcPr>
            <w:tcW w:w="139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41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工程质量达到合格标准</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等级合格</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5" w:hRule="atLeast"/>
        </w:trPr>
        <w:tc>
          <w:tcPr>
            <w:tcW w:w="139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41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工程竣工验收完成时间</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5" w:hRule="atLeast"/>
        </w:trPr>
        <w:tc>
          <w:tcPr>
            <w:tcW w:w="139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休闲娱乐场地</w:t>
            </w:r>
          </w:p>
        </w:tc>
        <w:tc>
          <w:tcPr>
            <w:tcW w:w="41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增加居民休闲娱乐场地面积</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166亩</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8" w:hRule="atLeast"/>
        </w:trPr>
        <w:tc>
          <w:tcPr>
            <w:tcW w:w="139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41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受益区群众对工程实施的满意度</w:t>
            </w:r>
          </w:p>
        </w:tc>
        <w:tc>
          <w:tcPr>
            <w:tcW w:w="1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8、大厂县第一水厂和第二水厂配水管网贯通工程绩效目标表</w:t>
      </w:r>
      <w:bookmarkStart w:id="8" w:name="_Toc15035"/>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8、大厂县第一水厂和第二水厂配水管网贯通工程绩效目标表 \f C \l 1 </w:instrText>
      </w:r>
      <w:r>
        <w:rPr>
          <w:rFonts w:hint="eastAsia" w:ascii="方正仿宋_GBK" w:hAnsi="方正仿宋_GBK" w:eastAsia="方正仿宋_GBK" w:cs="方正仿宋_GBK"/>
          <w:b w:val="0"/>
          <w:bCs/>
          <w:sz w:val="28"/>
          <w:szCs w:val="28"/>
          <w:u w:val="none"/>
          <w:lang w:eastAsia="zh-CN"/>
        </w:rPr>
        <w:fldChar w:fldCharType="end"/>
      </w:r>
      <w:bookmarkEnd w:id="8"/>
    </w:p>
    <w:tbl>
      <w:tblPr>
        <w:tblStyle w:val="10"/>
        <w:tblW w:w="132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4"/>
        <w:gridCol w:w="119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35" w:hRule="atLeast"/>
          <w:jc w:val="center"/>
        </w:trPr>
        <w:tc>
          <w:tcPr>
            <w:tcW w:w="131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93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实现为改善广大人民群众的生活条件，确保饮水安全，促进当地经济和各项社会事业的可持续发展。保障大厂县县城第一水厂及夏垫镇第二水厂两座水厂配水能力，同时形成双回路环状供水格局，大大提升供水的安全稳定性。</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2、通过项目的开展完成大厂县县城第一水厂及夏垫镇第二水厂两座水厂配水管网贯通，提升供水的安全稳定性。</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22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3"/>
        <w:gridCol w:w="1815"/>
        <w:gridCol w:w="1605"/>
        <w:gridCol w:w="3360"/>
        <w:gridCol w:w="1560"/>
        <w:gridCol w:w="36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tblHeader/>
          <w:jc w:val="center"/>
        </w:trPr>
        <w:tc>
          <w:tcPr>
            <w:tcW w:w="128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8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60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3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5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6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0" w:hRule="atLeast"/>
          <w:jc w:val="center"/>
        </w:trPr>
        <w:tc>
          <w:tcPr>
            <w:tcW w:w="128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管线长度</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新建DN600供水管线全长6587米</w:t>
            </w:r>
          </w:p>
        </w:tc>
        <w:tc>
          <w:tcPr>
            <w:tcW w:w="15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6587米</w:t>
            </w:r>
          </w:p>
        </w:tc>
        <w:tc>
          <w:tcPr>
            <w:tcW w:w="36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2" w:hRule="atLeast"/>
          <w:jc w:val="center"/>
        </w:trPr>
        <w:tc>
          <w:tcPr>
            <w:tcW w:w="128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验收合格</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工程竣工验收符合规范要求，质量合格</w:t>
            </w:r>
          </w:p>
        </w:tc>
        <w:tc>
          <w:tcPr>
            <w:tcW w:w="15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合格</w:t>
            </w:r>
          </w:p>
        </w:tc>
        <w:tc>
          <w:tcPr>
            <w:tcW w:w="36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2" w:hRule="atLeast"/>
          <w:jc w:val="center"/>
        </w:trPr>
        <w:tc>
          <w:tcPr>
            <w:tcW w:w="128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w:t>
            </w:r>
          </w:p>
        </w:tc>
        <w:tc>
          <w:tcPr>
            <w:tcW w:w="15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≤9月份</w:t>
            </w:r>
          </w:p>
        </w:tc>
        <w:tc>
          <w:tcPr>
            <w:tcW w:w="36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施工组织设计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28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供水普及率</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供用水人口与县人口总数的比率</w:t>
            </w:r>
          </w:p>
        </w:tc>
        <w:tc>
          <w:tcPr>
            <w:tcW w:w="15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6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2008年以来，全县供水普及率95%以上。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43" w:hRule="atLeast"/>
          <w:jc w:val="center"/>
        </w:trPr>
        <w:tc>
          <w:tcPr>
            <w:tcW w:w="128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可持续影响指标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持续时长</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项目持续发挥作用的年限</w:t>
            </w:r>
          </w:p>
        </w:tc>
        <w:tc>
          <w:tcPr>
            <w:tcW w:w="15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≥50年</w:t>
            </w:r>
          </w:p>
        </w:tc>
        <w:tc>
          <w:tcPr>
            <w:tcW w:w="36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城镇给水排水技术规范GB5078-2012第6.1.2规定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6" w:hRule="atLeast"/>
          <w:jc w:val="center"/>
        </w:trPr>
        <w:tc>
          <w:tcPr>
            <w:tcW w:w="128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用水户满意度</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供用水服务综合满意度</w:t>
            </w:r>
          </w:p>
        </w:tc>
        <w:tc>
          <w:tcPr>
            <w:tcW w:w="15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6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2018年6月至今供用水服务客服回该满意度95%以上。</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9、大厂县原乡镇（公社）农机员生活补贴资金绩效目标表</w:t>
      </w:r>
      <w:bookmarkStart w:id="9" w:name="_Toc18088"/>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9、大厂县原乡镇（公社）农机员生活补贴资金绩效目标表 \f C \l 1 </w:instrText>
      </w:r>
      <w:r>
        <w:rPr>
          <w:rFonts w:hint="eastAsia" w:ascii="方正仿宋_GBK" w:hAnsi="方正仿宋_GBK" w:eastAsia="方正仿宋_GBK" w:cs="方正仿宋_GBK"/>
          <w:b w:val="0"/>
          <w:bCs/>
          <w:sz w:val="28"/>
          <w:szCs w:val="28"/>
          <w:u w:val="none"/>
          <w:lang w:eastAsia="zh-CN"/>
        </w:rPr>
        <w:fldChar w:fldCharType="end"/>
      </w:r>
      <w:bookmarkEnd w:id="9"/>
    </w:p>
    <w:tbl>
      <w:tblPr>
        <w:tblStyle w:val="10"/>
        <w:tblW w:w="133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2"/>
        <w:gridCol w:w="119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jc w:val="center"/>
        </w:trPr>
        <w:tc>
          <w:tcPr>
            <w:tcW w:w="1362"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952"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1、通过项目的开展，妥善解决原乡镇（公社）农机员老有所养问题。</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2、通过项目的开展完成，解决了原乡镇（公社）农机员的老有所养及农机员信访隐患。</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3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1"/>
        <w:gridCol w:w="1800"/>
        <w:gridCol w:w="1725"/>
        <w:gridCol w:w="4172"/>
        <w:gridCol w:w="1288"/>
        <w:gridCol w:w="31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8" w:hRule="atLeast"/>
          <w:tblHeader/>
          <w:jc w:val="center"/>
        </w:trPr>
        <w:tc>
          <w:tcPr>
            <w:tcW w:w="123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8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17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8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10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1231"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人数</w:t>
            </w:r>
          </w:p>
        </w:tc>
        <w:tc>
          <w:tcPr>
            <w:tcW w:w="417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享受生活补贴人数</w:t>
            </w:r>
          </w:p>
        </w:tc>
        <w:tc>
          <w:tcPr>
            <w:tcW w:w="12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241人</w:t>
            </w:r>
          </w:p>
        </w:tc>
        <w:tc>
          <w:tcPr>
            <w:tcW w:w="31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jc w:val="center"/>
        </w:trPr>
        <w:tc>
          <w:tcPr>
            <w:tcW w:w="123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补助覆盖率</w:t>
            </w:r>
          </w:p>
        </w:tc>
        <w:tc>
          <w:tcPr>
            <w:tcW w:w="417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已领取补助农机员人数与占已核定人数的比率</w:t>
            </w:r>
          </w:p>
        </w:tc>
        <w:tc>
          <w:tcPr>
            <w:tcW w:w="12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≥90比率</w:t>
            </w:r>
          </w:p>
        </w:tc>
        <w:tc>
          <w:tcPr>
            <w:tcW w:w="31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2" w:hRule="atLeast"/>
          <w:jc w:val="center"/>
        </w:trPr>
        <w:tc>
          <w:tcPr>
            <w:tcW w:w="123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417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补贴资金发放完成时间</w:t>
            </w:r>
          </w:p>
        </w:tc>
        <w:tc>
          <w:tcPr>
            <w:tcW w:w="12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1年</w:t>
            </w:r>
          </w:p>
        </w:tc>
        <w:tc>
          <w:tcPr>
            <w:tcW w:w="31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0" w:hRule="atLeast"/>
          <w:jc w:val="center"/>
        </w:trPr>
        <w:tc>
          <w:tcPr>
            <w:tcW w:w="123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信访情况</w:t>
            </w:r>
          </w:p>
        </w:tc>
        <w:tc>
          <w:tcPr>
            <w:tcW w:w="417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农机员信访人数</w:t>
            </w:r>
          </w:p>
        </w:tc>
        <w:tc>
          <w:tcPr>
            <w:tcW w:w="12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0人</w:t>
            </w:r>
          </w:p>
        </w:tc>
        <w:tc>
          <w:tcPr>
            <w:tcW w:w="31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2107-2019年发放三年生活补贴后，没有农机员上访。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45" w:hRule="atLeast"/>
          <w:jc w:val="center"/>
        </w:trPr>
        <w:tc>
          <w:tcPr>
            <w:tcW w:w="123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受益人员满意度</w:t>
            </w:r>
          </w:p>
        </w:tc>
        <w:tc>
          <w:tcPr>
            <w:tcW w:w="417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已领取生活补贴农机员对此项目的满意度</w:t>
            </w:r>
          </w:p>
        </w:tc>
        <w:tc>
          <w:tcPr>
            <w:tcW w:w="12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≥95人</w:t>
            </w:r>
          </w:p>
        </w:tc>
        <w:tc>
          <w:tcPr>
            <w:tcW w:w="31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通过对受益农机员调查询问，绝大多数人员满意。</w:t>
            </w:r>
          </w:p>
        </w:tc>
      </w:tr>
    </w:tbl>
    <w:p>
      <w:pPr>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10、动物防疫及畜产品安全检测经费绩效目标表</w:t>
      </w:r>
      <w:bookmarkStart w:id="10" w:name="_Toc5254"/>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10、动物防疫及畜产品安全检测经费绩效目标表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0"/>
    </w:p>
    <w:tbl>
      <w:tblPr>
        <w:tblStyle w:val="10"/>
        <w:tblW w:w="13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5"/>
        <w:gridCol w:w="111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2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18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1、通过采购动物防疫物资及畜产品安全检测试剂，以确保我县不发生重大动物疫病及畜产品安全事件。</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2、通过采购动物防疫物资及畜产品安全检测试剂，以确保我县不发生重大动物疫病及畜产品安全事件。</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9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98"/>
        <w:gridCol w:w="1500"/>
        <w:gridCol w:w="1725"/>
        <w:gridCol w:w="2880"/>
        <w:gridCol w:w="1260"/>
        <w:gridCol w:w="3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79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8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8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防护用品数量</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购买防护用品数量</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≥100套</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根据我县养殖情况确定与2019年相当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消毒药品数量</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购买消毒药品数量</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≥2吨</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根据我县养殖情况确定与2019年相当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瘦肉精检测试纸条</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购买瘦肉精检测试纸条数量</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≥6000条</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2018年采购  9600条，2019年采购8800条。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产品质量合格率</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产品合格率</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降低疫病发病率</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发病率</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79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农户满意度</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农户对动物疫病防控综合满意度</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11、防汛经费绩效目标表</w:t>
      </w:r>
      <w:bookmarkStart w:id="11" w:name="_Toc2089"/>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11、防汛经费绩效目标表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1"/>
    </w:p>
    <w:tbl>
      <w:tblPr>
        <w:tblStyle w:val="10"/>
        <w:tblW w:w="1290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5"/>
        <w:gridCol w:w="1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8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515"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1、通过此资金投入，完成农业农村局2020年防汛工作任务，完成2020年防汛物资储备任务。</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2、通过此资金投入，完成农业农村局2020年防汛工作任务，完成2020年防汛物资储备任务。</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5"/>
        <w:gridCol w:w="2180"/>
        <w:gridCol w:w="2715"/>
        <w:gridCol w:w="3075"/>
        <w:gridCol w:w="1276"/>
        <w:gridCol w:w="21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1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7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0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18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5"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水利工程运行数量</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水利工程防汛运行保障数量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≥11个</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5"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工程运行质量合格率（%）</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水利工程防汛运行质量合格率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5"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项目完成时间</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完成工程调度数</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完成应急防汛工程调度次数</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≥11次</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公众满意度(％)</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18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12、非农取用水户水量在线监测站点运行维护补助绩效目标表</w:t>
      </w:r>
      <w:bookmarkStart w:id="12" w:name="_Toc16125"/>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12、非农取用水户水量在线监测站点运行维护补助绩效目标表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2"/>
    </w:p>
    <w:tbl>
      <w:tblPr>
        <w:tblStyle w:val="10"/>
        <w:tblW w:w="129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7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768"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1、通过项目的开展确保我县已建12个非农取用水户水量在线监测站点长期稳定在线，达到预期效果，为征收水资源税提供准确的依据。</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2、通过项目的开展确保我县已建12个非农取用水户水量在线监测站点长期稳定在线，达到预期效果，为征收水资源税提供准确的依据。</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620"/>
        <w:gridCol w:w="3975"/>
        <w:gridCol w:w="3330"/>
        <w:gridCol w:w="1200"/>
        <w:gridCol w:w="16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39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3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60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计量设施数量</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非农取用水户水量在线监测站点</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≥15个</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运行正常</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非农取用水户水量在线监测站点</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≥0等级</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反应及时</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非农取用水户水量在线监测站点</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≤24小时</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增强水资源的调控能力，提高水资源可持续利用水平</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提高我县水资源安全管理的整体水平</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实现对重要取水户取用水情况的实时监管，大大减少偷取水资源现象的发生，利用水资源税的强制性，提高水资源税的征收到位率。</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提高监管效率，大大降低行政监管成本</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生态效益指标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能够较为直观的分析观察非农取用水户水量的使用情况、地下水量的开采情况</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对于地下水压采效果评估、用水量分析、节水潜能分析均具有一定的指导意义。</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3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2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160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13、非洲猪瘟检测设备、试剂及非洲猪瘟防治经费绩效目标表</w:t>
      </w:r>
      <w:bookmarkStart w:id="13" w:name="_Toc10490"/>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13、非洲猪瘟检测设备、试剂及非洲猪瘟防治经费绩效目标表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3"/>
    </w:p>
    <w:tbl>
      <w:tblPr>
        <w:tblStyle w:val="10"/>
        <w:tblW w:w="128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114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448"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1、通过采购非洲猪瘟检测设备、试剂及防治非洲猪瘟消毒药品，以确保我县不发生非洲猪瘟疫情。</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2、通过采购非洲猪瘟检测设备、试剂及防治非洲猪瘟消毒药品，以确保我县不发生非洲猪瘟疫情。</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0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9"/>
        <w:gridCol w:w="2220"/>
        <w:gridCol w:w="2070"/>
        <w:gridCol w:w="3885"/>
        <w:gridCol w:w="1470"/>
        <w:gridCol w:w="17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2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0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88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非洲猪瘟检测设备</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购买非洲猪瘟检测设备</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2台（件）</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检测试剂数量</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购买检测试剂数量</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≥24盒</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消毒药品数量</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购买消毒药品数量</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≥1.28吨</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与2019年相当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产品质量合格率</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产品合格率</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≥95比率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非洲猪瘟检测率</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非洲猪瘟检测率</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可持续影响指标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非洲猪瘟检测设备</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使用年限</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≥5年</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质量合格证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2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0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养殖户满意度</w:t>
            </w:r>
          </w:p>
        </w:tc>
        <w:tc>
          <w:tcPr>
            <w:tcW w:w="38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养殖户对非洲猪瘟防控综合满意度</w:t>
            </w:r>
          </w:p>
        </w:tc>
        <w:tc>
          <w:tcPr>
            <w:tcW w:w="14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14、公益性水利工程维修养护经费绩效目标表</w:t>
      </w:r>
      <w:bookmarkStart w:id="14" w:name="_Toc13450"/>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14、公益性水利工程维修养护经费绩效目标表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4"/>
    </w:p>
    <w:tbl>
      <w:tblPr>
        <w:tblStyle w:val="10"/>
        <w:tblW w:w="129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81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1、通过做好维修养护，发挥河道排涝蓄水功能、保障人民生命财产安全。</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2、通过做好维修养护，发挥河道排涝蓄水功能、保障人民生命财产安全。</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9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43"/>
        <w:gridCol w:w="1365"/>
        <w:gridCol w:w="1515"/>
        <w:gridCol w:w="4425"/>
        <w:gridCol w:w="1260"/>
        <w:gridCol w:w="30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4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3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5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4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03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4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3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水利闸桥数量</w:t>
            </w:r>
          </w:p>
        </w:tc>
        <w:tc>
          <w:tcPr>
            <w:tcW w:w="4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对水利闸桥维修养护数量</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≥3座</w:t>
            </w:r>
          </w:p>
        </w:tc>
        <w:tc>
          <w:tcPr>
            <w:tcW w:w="30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4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3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4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工程质量达到合格标准</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等级合格</w:t>
            </w:r>
          </w:p>
        </w:tc>
        <w:tc>
          <w:tcPr>
            <w:tcW w:w="30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4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3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4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工程竣工验收完成时间</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30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4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3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受益镇村</w:t>
            </w:r>
          </w:p>
        </w:tc>
        <w:tc>
          <w:tcPr>
            <w:tcW w:w="4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工程建成受益镇村数量</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≥3村</w:t>
            </w:r>
          </w:p>
        </w:tc>
        <w:tc>
          <w:tcPr>
            <w:tcW w:w="30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大厂县国民经济统计数据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4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3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4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受益区群众对工程实施的满意度</w:t>
            </w:r>
          </w:p>
        </w:tc>
        <w:tc>
          <w:tcPr>
            <w:tcW w:w="12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30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15、关于提前下达2020年省级财政扶贫专项资金预算的通知（冀财农【2019】149号）绩效目标表</w:t>
      </w:r>
      <w:bookmarkStart w:id="15" w:name="_Toc5749"/>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15、关于提前下达2020年省级财政扶贫专项资金预算的通知（冀财农【2019】149号）绩效目标表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5"/>
    </w:p>
    <w:tbl>
      <w:tblPr>
        <w:tblStyle w:val="10"/>
        <w:tblW w:w="1293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9"/>
        <w:gridCol w:w="11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9"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54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1、通过此项目实施，增加贫困户收入。</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2、通过此项目实施，增加贫困户收入。</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9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7"/>
        <w:gridCol w:w="1500"/>
        <w:gridCol w:w="2715"/>
        <w:gridCol w:w="3075"/>
        <w:gridCol w:w="1305"/>
        <w:gridCol w:w="300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9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7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0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0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00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7"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扶贫户数</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产业扶贫项目扶持全县贫困户</w:t>
            </w:r>
          </w:p>
        </w:tc>
        <w:tc>
          <w:tcPr>
            <w:tcW w:w="13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102户</w:t>
            </w:r>
          </w:p>
        </w:tc>
        <w:tc>
          <w:tcPr>
            <w:tcW w:w="300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根据我县实际贫困户数量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7"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扶贫全覆盖</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产业扶贫项目覆盖全县贫困户</w:t>
            </w:r>
          </w:p>
        </w:tc>
        <w:tc>
          <w:tcPr>
            <w:tcW w:w="13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300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根据我县实际贫困脱贫目标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7"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扶贫完成时间</w:t>
            </w:r>
          </w:p>
        </w:tc>
        <w:tc>
          <w:tcPr>
            <w:tcW w:w="13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300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根据我县脱贫工作完成时间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收益建档立卡贫困人口数</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全县建档立卡贫困人口数量</w:t>
            </w:r>
          </w:p>
        </w:tc>
        <w:tc>
          <w:tcPr>
            <w:tcW w:w="13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201人</w:t>
            </w:r>
          </w:p>
        </w:tc>
        <w:tc>
          <w:tcPr>
            <w:tcW w:w="300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根据我县脱贫实际人口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7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贫困户满意度</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收益建档立卡贫困人口满意度</w:t>
            </w:r>
          </w:p>
        </w:tc>
        <w:tc>
          <w:tcPr>
            <w:tcW w:w="13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300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根据我县脱贫实际情况</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16、关于提前下达2020年省级农产品质量安全及疫病防治资金的通知（冀财农【2019】165号）绩效目标表</w:t>
      </w:r>
      <w:bookmarkStart w:id="16" w:name="_Toc32591"/>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16、关于提前下达2020年省级农产品质量安全及疫病防治资金的通知（冀财农【2019】165号）绩效目标表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6"/>
    </w:p>
    <w:tbl>
      <w:tblPr>
        <w:tblStyle w:val="10"/>
        <w:tblW w:w="1289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6"/>
        <w:gridCol w:w="114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6"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48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1、通过采购检测试剂，以确保我县不发生食品安全事件。</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2、通过采购检测试剂，以确保我县不发生食品安全事件。</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9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4"/>
        <w:gridCol w:w="1635"/>
        <w:gridCol w:w="3615"/>
        <w:gridCol w:w="2475"/>
        <w:gridCol w:w="1425"/>
        <w:gridCol w:w="23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0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3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36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4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36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36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检测试剂</w:t>
            </w:r>
          </w:p>
        </w:tc>
        <w:tc>
          <w:tcPr>
            <w:tcW w:w="24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购买检测试剂</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≥20瓶</w:t>
            </w:r>
          </w:p>
        </w:tc>
        <w:tc>
          <w:tcPr>
            <w:tcW w:w="23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根据我县养殖情况确定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36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产品质量合格率</w:t>
            </w:r>
          </w:p>
        </w:tc>
        <w:tc>
          <w:tcPr>
            <w:tcW w:w="24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产品合格率</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3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36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4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3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36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降低食品安全发生率</w:t>
            </w:r>
          </w:p>
        </w:tc>
        <w:tc>
          <w:tcPr>
            <w:tcW w:w="24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食品安全发生率</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w:t>
            </w:r>
          </w:p>
        </w:tc>
        <w:tc>
          <w:tcPr>
            <w:tcW w:w="23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0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6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人民群众满意度</w:t>
            </w:r>
          </w:p>
        </w:tc>
        <w:tc>
          <w:tcPr>
            <w:tcW w:w="24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人民群众对食品安全满意度</w:t>
            </w:r>
          </w:p>
        </w:tc>
        <w:tc>
          <w:tcPr>
            <w:tcW w:w="14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3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17、关于提前下达2020年省级农产品质量安全及疫病防治资金的通知（冀财农【2019】165号）绩效目标表</w:t>
      </w:r>
      <w:bookmarkStart w:id="17" w:name="_Toc930"/>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17、关于提前下达2020年省级农产品质量安全及疫病防治资金的通知（冀财农【2019】165号）绩效目标表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7"/>
    </w:p>
    <w:tbl>
      <w:tblPr>
        <w:tblStyle w:val="10"/>
        <w:tblW w:w="1278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3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35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1、购买疫苗、监测试剂，以确保我县不发生重大动物疫病。</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2、购买疫苗、监测试剂，以确保我县不发生重大动物疫病。</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6"/>
        <w:gridCol w:w="1515"/>
        <w:gridCol w:w="2040"/>
        <w:gridCol w:w="3495"/>
        <w:gridCol w:w="1665"/>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0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49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6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64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0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疫苗数量</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购买疫苗数量</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≥80000头份</w:t>
            </w:r>
          </w:p>
        </w:tc>
        <w:tc>
          <w:tcPr>
            <w:tcW w:w="264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根据我县养殖情况确定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0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试剂数量</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购买试剂数量</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≥10套</w:t>
            </w:r>
          </w:p>
        </w:tc>
        <w:tc>
          <w:tcPr>
            <w:tcW w:w="264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根据我县养殖情况确定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0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产品质量合格率</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64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0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64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0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降低疫病发病率</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发病率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w:t>
            </w:r>
          </w:p>
        </w:tc>
        <w:tc>
          <w:tcPr>
            <w:tcW w:w="264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0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养殖户满意度</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养殖户对动物疫病防控综合满意度</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64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18、关于提前下达2020年省级农业生产发展资金的通知（冀财农【2019】168号）绩效目标表</w:t>
      </w:r>
      <w:bookmarkStart w:id="18" w:name="_Toc14842"/>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18、关于提前下达2020年省级农业生产发展资金的通知（冀财农【2019】168号）绩效目标表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8"/>
    </w:p>
    <w:tbl>
      <w:tblPr>
        <w:tblStyle w:val="10"/>
        <w:tblW w:w="127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5"/>
        <w:gridCol w:w="112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8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开展农村集体资产清产核资、农村集体经济组织成员界定、农村集体资产股权量化设置及农村集体经济组织注册登记等项改革任务，明晰农村集体所有产权关系，发展新型集体经济，管好用好集体资产，促进集体资产保值增值。</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2、通过开展农村集体资产股权量化设置及农村集体经济组织注册登记等项改革任务，促进农村集体经济发展和农民持续增收。</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7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1"/>
        <w:gridCol w:w="1215"/>
        <w:gridCol w:w="1215"/>
        <w:gridCol w:w="3975"/>
        <w:gridCol w:w="1605"/>
        <w:gridCol w:w="3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2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2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9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60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23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组织数量</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注册成立农村集体经济组织数量</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105个</w:t>
            </w:r>
          </w:p>
        </w:tc>
        <w:tc>
          <w:tcPr>
            <w:tcW w:w="32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大发〔2018〕23号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验收通过率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通过相关部门检查验收的村数占比</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32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大发〔2018〕23号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验收完成时间</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≤10月份</w:t>
            </w:r>
          </w:p>
        </w:tc>
        <w:tc>
          <w:tcPr>
            <w:tcW w:w="32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大发〔2018〕23号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资产流失率</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发生农村集体资产流失案件的村数占全县总村数的比率</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w:t>
            </w:r>
          </w:p>
        </w:tc>
        <w:tc>
          <w:tcPr>
            <w:tcW w:w="32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依据各村集体收入、资产资源数量等实际情况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2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村民满意度</w:t>
            </w:r>
          </w:p>
        </w:tc>
        <w:tc>
          <w:tcPr>
            <w:tcW w:w="39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村民对村集体资产管理、使用情况的综合满意度</w:t>
            </w:r>
          </w:p>
        </w:tc>
        <w:tc>
          <w:tcPr>
            <w:tcW w:w="16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32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依据各村集体收入、资产资源数量等实际情况</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19、关于提前下达2020年省级水利发展资金的通知（冀财农【2019】177号）绩效目标表</w:t>
      </w:r>
      <w:bookmarkStart w:id="19" w:name="_Toc3370"/>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19、关于提前下达2020年省级水利发展资金的通知（冀财农【2019】177号）绩效目标表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19"/>
    </w:p>
    <w:tbl>
      <w:tblPr>
        <w:tblStyle w:val="10"/>
        <w:tblW w:w="128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5"/>
        <w:gridCol w:w="114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45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1、通过此工程的实施，我县水利发展更好。</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2、通过此工程的实施，我县水利发展更好。</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575"/>
        <w:gridCol w:w="2130"/>
        <w:gridCol w:w="4320"/>
        <w:gridCol w:w="1515"/>
        <w:gridCol w:w="18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1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3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5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88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1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工程质量合格率</w:t>
            </w:r>
          </w:p>
        </w:tc>
        <w:tc>
          <w:tcPr>
            <w:tcW w:w="4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建筑工程达到设计结构或标准的程度</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8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1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工程按期完成率(%)</w:t>
            </w:r>
          </w:p>
        </w:tc>
        <w:tc>
          <w:tcPr>
            <w:tcW w:w="4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按期完成的工程量占总工程量的比率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8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1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4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工程验收完成时间</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18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21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设计功能实现率</w:t>
            </w:r>
          </w:p>
        </w:tc>
        <w:tc>
          <w:tcPr>
            <w:tcW w:w="4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建筑工程达到设计结构或标准的程度</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8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1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受益群体满意度(%)</w:t>
            </w:r>
          </w:p>
        </w:tc>
        <w:tc>
          <w:tcPr>
            <w:tcW w:w="4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受益群体调查中,满意和较满意的人数占全部调查人数的比率</w:t>
            </w:r>
          </w:p>
        </w:tc>
        <w:tc>
          <w:tcPr>
            <w:tcW w:w="15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18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20、关于提前下达2020年土地指标跨省域调剂收入安排的支出预算（支持农村“厕所革命”整村推进财政奖补使用方向）的通知绩效目标表</w:t>
      </w:r>
      <w:bookmarkStart w:id="20" w:name="_Toc12385"/>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20、关于提前下达2020年土地指标跨省域调剂收入安排的支出预算（支持农村\“厕所革命\”整村推进财政奖补使用方向）的通知绩效目标表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0"/>
    </w:p>
    <w:tbl>
      <w:tblPr>
        <w:tblStyle w:val="10"/>
        <w:tblW w:w="127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1"/>
        <w:gridCol w:w="113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91"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323"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1、购进一批设备，用于农厕粪污收集、储存、运输及后期管护。</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2、购进一批设备，用于农厕粪污收集、储存、运输及后期管护。</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6"/>
        <w:gridCol w:w="1590"/>
        <w:gridCol w:w="2250"/>
        <w:gridCol w:w="4035"/>
        <w:gridCol w:w="1440"/>
        <w:gridCol w:w="19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7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25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03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99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6"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粪污清掏、清运设备</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购进粪污清掏、清运设备</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1批</w:t>
            </w:r>
          </w:p>
        </w:tc>
        <w:tc>
          <w:tcPr>
            <w:tcW w:w="199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合格率</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购置合同执行违规部分占购置合同的比率</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99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购入设备完成时间</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199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生态环境</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改善生态环境，有效预防疾病、保障广大人民群众的身体健康</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99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7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2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群众对农村厕所粪污清掏、清运满意度</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≥70%</w:t>
            </w:r>
          </w:p>
        </w:tc>
        <w:tc>
          <w:tcPr>
            <w:tcW w:w="199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调查走访</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21、关于提前下达2020年中央动物防疫补助经费预算指标的通知绩效目标表</w:t>
      </w:r>
      <w:bookmarkStart w:id="21" w:name="_Toc12829"/>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21、关于提前下达2020年中央动物防疫补助经费预算指标的通知绩效目标表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1"/>
    </w:p>
    <w:tbl>
      <w:tblPr>
        <w:tblStyle w:val="10"/>
        <w:tblW w:w="1260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6"/>
        <w:gridCol w:w="111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6"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14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1、通过做好动物强制免疫工作，以确保我县不发生重大动物疫病。</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2、通过做好动物强制免疫工作，以确保我县不发生重大动物疫病。</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3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6"/>
        <w:gridCol w:w="1500"/>
        <w:gridCol w:w="1890"/>
        <w:gridCol w:w="2460"/>
        <w:gridCol w:w="2265"/>
        <w:gridCol w:w="3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8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4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22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03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6"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8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强制免疫数量</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动物强制免疫数量</w:t>
            </w:r>
          </w:p>
        </w:tc>
        <w:tc>
          <w:tcPr>
            <w:tcW w:w="22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≥500000头、只、羽</w:t>
            </w:r>
          </w:p>
        </w:tc>
        <w:tc>
          <w:tcPr>
            <w:tcW w:w="30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根据我县养殖情况与2019年相当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8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免疫合格率</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免疫合格率</w:t>
            </w:r>
          </w:p>
        </w:tc>
        <w:tc>
          <w:tcPr>
            <w:tcW w:w="22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0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检测结果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8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强制免疫完成时间</w:t>
            </w:r>
          </w:p>
        </w:tc>
        <w:tc>
          <w:tcPr>
            <w:tcW w:w="22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30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8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降低疫病发病率</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发病率</w:t>
            </w:r>
          </w:p>
        </w:tc>
        <w:tc>
          <w:tcPr>
            <w:tcW w:w="22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w:t>
            </w:r>
          </w:p>
        </w:tc>
        <w:tc>
          <w:tcPr>
            <w:tcW w:w="30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8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养殖户满意度</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养殖户对动物疫病防控综合满意度</w:t>
            </w:r>
          </w:p>
        </w:tc>
        <w:tc>
          <w:tcPr>
            <w:tcW w:w="22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03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spacing w:line="300" w:lineRule="exact"/>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22、关于提前下达2020年中央农业生产发展资金的通知（冀财农【2019】151号）绩效目标表</w:t>
      </w:r>
      <w:bookmarkStart w:id="22" w:name="_Toc26033"/>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22、关于提前下达2020年中央农业生产发展资金的通知（冀财农【2019】151号）绩效目标表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2"/>
    </w:p>
    <w:tbl>
      <w:tblPr>
        <w:tblStyle w:val="10"/>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4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478"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2020年申请中央资金50万元，5-12月进行项目施工，12月完成农机购置补贴工作。农机购置补贴政策实施实行自主购机、定额补贴、先购后补、县级结算、直补到卡（户）。</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93"/>
        <w:gridCol w:w="1725"/>
        <w:gridCol w:w="1710"/>
        <w:gridCol w:w="3315"/>
        <w:gridCol w:w="1665"/>
        <w:gridCol w:w="2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9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1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3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6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8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台数</w:t>
            </w:r>
          </w:p>
        </w:tc>
        <w:tc>
          <w:tcPr>
            <w:tcW w:w="33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补贴机具台数</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≥20台</w:t>
            </w:r>
          </w:p>
        </w:tc>
        <w:tc>
          <w:tcPr>
            <w:tcW w:w="2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冀农业财发[2018]34号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准确率</w:t>
            </w:r>
          </w:p>
        </w:tc>
        <w:tc>
          <w:tcPr>
            <w:tcW w:w="33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标准补贴机具准确率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冀农业财发[2018]34号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3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补贴资金使用完成时间</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1年</w:t>
            </w:r>
          </w:p>
        </w:tc>
        <w:tc>
          <w:tcPr>
            <w:tcW w:w="2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冀农业财发[2018]34号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17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节约率</w:t>
            </w:r>
          </w:p>
        </w:tc>
        <w:tc>
          <w:tcPr>
            <w:tcW w:w="33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购机者购买补贴机具成本节约率</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≤30%</w:t>
            </w:r>
          </w:p>
        </w:tc>
        <w:tc>
          <w:tcPr>
            <w:tcW w:w="2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冀农业财发[2018]34号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9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1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购机者满意度</w:t>
            </w:r>
          </w:p>
        </w:tc>
        <w:tc>
          <w:tcPr>
            <w:tcW w:w="33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购机者对农机购置补贴政策的满意度</w:t>
            </w:r>
          </w:p>
        </w:tc>
        <w:tc>
          <w:tcPr>
            <w:tcW w:w="1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8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通过调查询问，购机者对补贴政策满意</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23、关于提前下达2020年中央水库移民后期扶持基金的通知（冀财农【2019】129号）绩效目标表</w:t>
      </w:r>
      <w:bookmarkStart w:id="23" w:name="_Toc28615"/>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23、关于提前下达2020年中央水库移民后期扶持基金的通知（冀财农【2019】129号）绩效目标表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3"/>
    </w:p>
    <w:tbl>
      <w:tblPr>
        <w:tblStyle w:val="10"/>
        <w:tblW w:w="125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110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28"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039"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1、通过对大中型水库移民进行补助，增加移民收入。</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2、通过对大中型水库移民进行补助，增加移民收入。2020年完成本县水库移民33人，共计1.98万元的直补资金发放工作。</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5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2"/>
        <w:gridCol w:w="1530"/>
        <w:gridCol w:w="2505"/>
        <w:gridCol w:w="3180"/>
        <w:gridCol w:w="1065"/>
        <w:gridCol w:w="280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50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1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0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80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2"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5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资金直补受益移民</w:t>
            </w:r>
          </w:p>
        </w:tc>
        <w:tc>
          <w:tcPr>
            <w:tcW w:w="3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本年度直补资金受益移民人数</w:t>
            </w:r>
          </w:p>
        </w:tc>
        <w:tc>
          <w:tcPr>
            <w:tcW w:w="10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≤33人</w:t>
            </w:r>
          </w:p>
        </w:tc>
        <w:tc>
          <w:tcPr>
            <w:tcW w:w="28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人员核定数据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5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直补资金按时发放率</w:t>
            </w:r>
          </w:p>
        </w:tc>
        <w:tc>
          <w:tcPr>
            <w:tcW w:w="3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本年度直补资金按时发放率</w:t>
            </w:r>
          </w:p>
        </w:tc>
        <w:tc>
          <w:tcPr>
            <w:tcW w:w="10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8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成本指标</w:t>
            </w:r>
          </w:p>
        </w:tc>
        <w:tc>
          <w:tcPr>
            <w:tcW w:w="25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直补资金标准符合率</w:t>
            </w:r>
          </w:p>
        </w:tc>
        <w:tc>
          <w:tcPr>
            <w:tcW w:w="3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本年度直补资金发放标准符合率</w:t>
            </w:r>
          </w:p>
        </w:tc>
        <w:tc>
          <w:tcPr>
            <w:tcW w:w="10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8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25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增加移民人均可支配收入</w:t>
            </w:r>
          </w:p>
        </w:tc>
        <w:tc>
          <w:tcPr>
            <w:tcW w:w="3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本年度增加移民人均可支配收入</w:t>
            </w:r>
          </w:p>
        </w:tc>
        <w:tc>
          <w:tcPr>
            <w:tcW w:w="10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600元</w:t>
            </w:r>
          </w:p>
        </w:tc>
        <w:tc>
          <w:tcPr>
            <w:tcW w:w="28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移民资金管理相关文件规定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5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w:t>
            </w:r>
          </w:p>
        </w:tc>
        <w:tc>
          <w:tcPr>
            <w:tcW w:w="31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移民对后期扶持政策实施满意度</w:t>
            </w:r>
          </w:p>
        </w:tc>
        <w:tc>
          <w:tcPr>
            <w:tcW w:w="10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80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往年经验</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24、关于提前下达2020年中央水利发展资金（地下水超采综合治理）的通知（冀财农【2019】142号）绩效目标表</w:t>
      </w:r>
      <w:bookmarkStart w:id="24" w:name="_Toc13696"/>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24、关于提前下达2020年中央水利发展资金（地下水超采综合治理）的通知（冀财农【2019】142号）绩效目标表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4"/>
    </w:p>
    <w:tbl>
      <w:tblPr>
        <w:tblStyle w:val="10"/>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9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90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1、通过本项目的实施，对河道进行生态补水，改善区域水环境，并通过增加河渠蓄水，达到增加地下水补给量，缓解浅层地下水超采的影响。</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2、通过本项目的实施，对河道进行生态补水，改善区域水环境，并通过增加河渠蓄水，达到增加地下水补给量，缓解浅层地下水超采的影响。</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0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8"/>
        <w:gridCol w:w="1740"/>
        <w:gridCol w:w="2625"/>
        <w:gridCol w:w="3255"/>
        <w:gridCol w:w="1875"/>
        <w:gridCol w:w="20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7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7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6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2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8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09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8"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6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河渠清理整治的数量</w:t>
            </w:r>
          </w:p>
        </w:tc>
        <w:tc>
          <w:tcPr>
            <w:tcW w:w="32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按要求完成河渠清理整治的数量</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4条</w:t>
            </w:r>
          </w:p>
        </w:tc>
        <w:tc>
          <w:tcPr>
            <w:tcW w:w="20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6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32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按设计标准达标情况</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合格等级</w:t>
            </w:r>
          </w:p>
        </w:tc>
        <w:tc>
          <w:tcPr>
            <w:tcW w:w="20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6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2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按时间节点完成情况</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0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26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满足地下水补给</w:t>
            </w:r>
          </w:p>
        </w:tc>
        <w:tc>
          <w:tcPr>
            <w:tcW w:w="32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按要求满足地下水补给情况</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≥200000立方米</w:t>
            </w:r>
          </w:p>
        </w:tc>
        <w:tc>
          <w:tcPr>
            <w:tcW w:w="20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7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7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6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2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受益区群众对工程实施的满意度</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0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25、关于提前下达2020年中央水利发展资金预算的通知（冀财农【2019】143号）绩效目标表</w:t>
      </w:r>
      <w:bookmarkStart w:id="25" w:name="_Toc279"/>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25、关于提前下达2020年中央水利发展资金预算的通知（冀财农【2019】143号）绩效目标表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5"/>
    </w:p>
    <w:tbl>
      <w:tblPr>
        <w:tblStyle w:val="10"/>
        <w:tblW w:w="1284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47"/>
        <w:gridCol w:w="11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4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98"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1、通过项目的开展提高计量准确度。</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2、通过项目的开展提高计量准确度。</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4"/>
        <w:gridCol w:w="1695"/>
        <w:gridCol w:w="1875"/>
        <w:gridCol w:w="3495"/>
        <w:gridCol w:w="1485"/>
        <w:gridCol w:w="28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9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9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8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49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8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81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更换水表数量</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更换计量水表20069块</w:t>
            </w:r>
          </w:p>
        </w:tc>
        <w:tc>
          <w:tcPr>
            <w:tcW w:w="14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20069块</w:t>
            </w:r>
          </w:p>
        </w:tc>
        <w:tc>
          <w:tcPr>
            <w:tcW w:w="28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水表质量合格</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验收合格</w:t>
            </w:r>
          </w:p>
        </w:tc>
        <w:tc>
          <w:tcPr>
            <w:tcW w:w="14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100合格</w:t>
            </w:r>
          </w:p>
        </w:tc>
        <w:tc>
          <w:tcPr>
            <w:tcW w:w="28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验收时间</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计划验收时间</w:t>
            </w:r>
          </w:p>
        </w:tc>
        <w:tc>
          <w:tcPr>
            <w:tcW w:w="14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28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供水普及率</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供用水人口与县人口总数的比率</w:t>
            </w:r>
          </w:p>
        </w:tc>
        <w:tc>
          <w:tcPr>
            <w:tcW w:w="14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8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2008年以来，全县供水普及率95%以上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9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8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用水户满意度</w:t>
            </w:r>
          </w:p>
        </w:tc>
        <w:tc>
          <w:tcPr>
            <w:tcW w:w="34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供用水服务综合满意度</w:t>
            </w:r>
          </w:p>
        </w:tc>
        <w:tc>
          <w:tcPr>
            <w:tcW w:w="14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81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供用水服务客服回访满意度95%以上</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26、河北省畜禽（猪牛羊）定点屠宰厂视频追溯系统安装经费绩效目标表</w:t>
      </w:r>
      <w:bookmarkStart w:id="26" w:name="_Toc11774"/>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26、河北省畜禽（猪牛羊）定点屠宰厂视频追溯系统安装经费绩效目标表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6"/>
    </w:p>
    <w:tbl>
      <w:tblPr>
        <w:tblStyle w:val="10"/>
        <w:tblW w:w="130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3"/>
        <w:gridCol w:w="115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3"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534"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1、通过实施该项目，实现24小时实时在线监控，严格查处违法屠宰畜禽行为</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2、通过实施该项目，实现24小时实时在线监控，严格查处违法屠宰畜禽行为</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0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4"/>
        <w:gridCol w:w="1725"/>
        <w:gridCol w:w="1965"/>
        <w:gridCol w:w="3360"/>
        <w:gridCol w:w="1230"/>
        <w:gridCol w:w="32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8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9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3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28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屠宰场数量</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安装视频监控的屠宰场数量</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50家</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大厂县实际屠宰企业数量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水分检测设备数量</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购置水分检测设备数量</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53家</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大厂县实际屠宰企业数量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视频监控设备终端存储盘</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购买视频监控设备终端存储盘</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24块</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大厂县实际屠宰企业数量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安装率</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畜禽屠宰企业摄像头安装率</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水分检测设备合格证</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1等级</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合格证数量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存储量</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视频监控设备终端存储盘存储量</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144T</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能够存储2个月的视频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水分检测设备购买时间</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摄像头安装工作完成时间</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违法行为发生率</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私屠滥宰、注水等违法行占全年总立案量的比率</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2020年立案统计表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可持续影响指标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持续时间</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项目持续发挥作用的年限</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≥3年</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《河北省畜禽（猪牛羊）定点屠宰场视频追溯系统安装指导意见》（冀农办发【2019】30号）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8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9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屠宰企业满意度</w:t>
            </w:r>
          </w:p>
        </w:tc>
        <w:tc>
          <w:tcPr>
            <w:tcW w:w="33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屠宰企业对水分检测设备使用满意度</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328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27、河长制办公经费绩效目标表</w:t>
      </w:r>
      <w:bookmarkStart w:id="27" w:name="_Toc1648"/>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27、河长制办公经费绩效目标表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7"/>
    </w:p>
    <w:tbl>
      <w:tblPr>
        <w:tblStyle w:val="10"/>
        <w:tblW w:w="127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4"/>
        <w:gridCol w:w="112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6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4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1、通过实施本项目，以确保河长制办公室正常开展各项工作。</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2、通过实施本项目，以确保河长制办公室正常开展各项工作。</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7"/>
        <w:gridCol w:w="1575"/>
        <w:gridCol w:w="2280"/>
        <w:gridCol w:w="4185"/>
        <w:gridCol w:w="1440"/>
        <w:gridCol w:w="17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22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18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4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7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5" w:hRule="atLeast"/>
          <w:jc w:val="center"/>
        </w:trPr>
        <w:tc>
          <w:tcPr>
            <w:tcW w:w="1457"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22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政府采购率(%)</w:t>
            </w:r>
          </w:p>
        </w:tc>
        <w:tc>
          <w:tcPr>
            <w:tcW w:w="41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实际政府采购数量占应实施政府采购数量的比率</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7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7"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22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购置质量合格率(%)</w:t>
            </w:r>
          </w:p>
        </w:tc>
        <w:tc>
          <w:tcPr>
            <w:tcW w:w="41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购置质量合格的数量占购置总数量的比率</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7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7"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22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购置验收通过率(%)</w:t>
            </w:r>
          </w:p>
        </w:tc>
        <w:tc>
          <w:tcPr>
            <w:tcW w:w="41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通过验收的购置数量占购置总数量的比率</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7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45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22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公共服务水平提升情况</w:t>
            </w:r>
            <w:r>
              <w:rPr>
                <w:rFonts w:hint="eastAsia" w:ascii="方正书宋_GBK" w:hAnsi="方正书宋_GBK" w:eastAsia="方正书宋_GBK" w:cs="方正书宋_GBK"/>
                <w:b w:val="0"/>
                <w:bCs/>
                <w:sz w:val="21"/>
                <w:szCs w:val="21"/>
                <w:u w:val="none"/>
                <w:vertAlign w:val="baseline"/>
                <w:lang w:eastAsia="zh-CN"/>
              </w:rPr>
              <w:tab/>
            </w:r>
          </w:p>
        </w:tc>
        <w:tc>
          <w:tcPr>
            <w:tcW w:w="41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购置对公共服务水平的提升情况</w:t>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提升水平</w:t>
            </w:r>
          </w:p>
        </w:tc>
        <w:tc>
          <w:tcPr>
            <w:tcW w:w="17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45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22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使用人员满意度(%)</w:t>
            </w:r>
            <w:r>
              <w:rPr>
                <w:rFonts w:hint="eastAsia" w:ascii="方正书宋_GBK" w:hAnsi="方正书宋_GBK" w:eastAsia="方正书宋_GBK" w:cs="方正书宋_GBK"/>
                <w:b w:val="0"/>
                <w:bCs/>
                <w:sz w:val="21"/>
                <w:szCs w:val="21"/>
                <w:u w:val="none"/>
                <w:vertAlign w:val="baseline"/>
                <w:lang w:eastAsia="zh-CN"/>
              </w:rPr>
              <w:tab/>
            </w:r>
          </w:p>
        </w:tc>
        <w:tc>
          <w:tcPr>
            <w:tcW w:w="418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调查中使用人员满意和较满意的数量占调查总人数的比率</w:t>
            </w:r>
            <w:r>
              <w:rPr>
                <w:rFonts w:hint="eastAsia" w:ascii="方正书宋_GBK" w:hAnsi="方正书宋_GBK" w:eastAsia="方正书宋_GBK" w:cs="方正书宋_GBK"/>
                <w:b w:val="0"/>
                <w:bCs/>
                <w:sz w:val="21"/>
                <w:szCs w:val="21"/>
                <w:u w:val="none"/>
                <w:vertAlign w:val="baseline"/>
                <w:lang w:eastAsia="zh-CN"/>
              </w:rPr>
              <w:tab/>
            </w:r>
          </w:p>
        </w:tc>
        <w:tc>
          <w:tcPr>
            <w:tcW w:w="14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17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28、河渠管理范围划界标界经费绩效目标表</w:t>
      </w:r>
      <w:bookmarkStart w:id="28" w:name="_Toc29975"/>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28、河渠管理范围划界标界经费绩效目标表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8"/>
    </w:p>
    <w:tbl>
      <w:tblPr>
        <w:tblStyle w:val="10"/>
        <w:tblW w:w="1241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4"/>
        <w:gridCol w:w="110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0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00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1、通过对河渠管理范围进行划界标界工作，以规范我县河渠管理。</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2、通过对河渠管理范围进行划界标界工作，以规范我县河渠管理。</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4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56"/>
        <w:gridCol w:w="1530"/>
        <w:gridCol w:w="1800"/>
        <w:gridCol w:w="4125"/>
        <w:gridCol w:w="1620"/>
        <w:gridCol w:w="20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35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8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1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6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06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6"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渠道数量</w:t>
            </w:r>
          </w:p>
        </w:tc>
        <w:tc>
          <w:tcPr>
            <w:tcW w:w="41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需划界标界的渠道数量</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3条</w:t>
            </w:r>
          </w:p>
        </w:tc>
        <w:tc>
          <w:tcPr>
            <w:tcW w:w="206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41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工程质量达到合格标准</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等级合格</w:t>
            </w:r>
          </w:p>
        </w:tc>
        <w:tc>
          <w:tcPr>
            <w:tcW w:w="206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6"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41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工程竣工验收完成时间</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06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规范管理长度</w:t>
            </w:r>
          </w:p>
        </w:tc>
        <w:tc>
          <w:tcPr>
            <w:tcW w:w="41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规范渠道管理长度</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29.8公里</w:t>
            </w:r>
          </w:p>
        </w:tc>
        <w:tc>
          <w:tcPr>
            <w:tcW w:w="206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35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8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41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06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29、检疫标识费绩效目标表</w:t>
      </w:r>
      <w:bookmarkStart w:id="29" w:name="_Toc16605"/>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29、检疫标识费绩效目标表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29"/>
    </w:p>
    <w:tbl>
      <w:tblPr>
        <w:tblStyle w:val="10"/>
        <w:tblW w:w="1228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0"/>
        <w:gridCol w:w="10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971"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1、通过购买足够数量的检疫证明和检疫标志，保证2020年我县动物检疫工作顺利开展</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2、通过购买足够数量的检疫证明和检疫标志，保证2020年我县动物检疫工作顺利开展</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3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88"/>
        <w:gridCol w:w="1845"/>
        <w:gridCol w:w="1575"/>
        <w:gridCol w:w="3000"/>
        <w:gridCol w:w="1380"/>
        <w:gridCol w:w="323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8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8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5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0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23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购买数量</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购买检疫证明数量</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22箱</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按照2019年使用数量预估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购买数量</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购买检疫标志数量</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160箱</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按照2019年使用数量预估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产品为省级指定生产厂家生产</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1等级</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《河北省动物卫生监督证章标志管理办法》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收到产品时间</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&lt;12月份</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实际工作需求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使用率</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检疫证明使用率</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《动物防疫法》，  《动物检疫管理办法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使用率</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检疫标志使用率</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《动物防疫法》，  《动物检疫管理办法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8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8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5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0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群众满意数量占总数的比例。</w:t>
            </w:r>
          </w:p>
        </w:tc>
        <w:tc>
          <w:tcPr>
            <w:tcW w:w="13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23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ind w:firstLine="420" w:firstLineChars="200"/>
        <w:jc w:val="left"/>
        <w:outlineLvl w:val="1"/>
        <w:rPr>
          <w:rFonts w:hint="eastAsia" w:ascii="方正仿宋_GBK" w:hAnsi="方正仿宋_GBK" w:eastAsia="方正仿宋_GBK" w:cs="方正仿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30、廊坊市鲍邱河（大康庄闸至赵各庄桥段）治理工程绩效目标表</w:t>
      </w:r>
      <w:bookmarkStart w:id="30" w:name="_Toc22346"/>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30、廊坊市鲍邱河（大康庄闸至赵各庄桥段）治理工程绩效目标表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0"/>
    </w:p>
    <w:tbl>
      <w:tblPr>
        <w:tblStyle w:val="10"/>
        <w:tblW w:w="124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109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3"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994"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1、通过完成工程建设，发挥河道排涝蓄水功能。</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2、通过完成工程建设，发挥河道排涝蓄水功能。</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44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3"/>
        <w:gridCol w:w="1650"/>
        <w:gridCol w:w="1545"/>
        <w:gridCol w:w="3240"/>
        <w:gridCol w:w="1680"/>
        <w:gridCol w:w="2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5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5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5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2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6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88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清淤长度</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整治河道清淤长度</w:t>
            </w:r>
          </w:p>
        </w:tc>
        <w:tc>
          <w:tcPr>
            <w:tcW w:w="16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13.09公里</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工程质量达到合格标准</w:t>
            </w:r>
          </w:p>
        </w:tc>
        <w:tc>
          <w:tcPr>
            <w:tcW w:w="16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等级合格</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工程竣工验收完成时间</w:t>
            </w:r>
          </w:p>
        </w:tc>
        <w:tc>
          <w:tcPr>
            <w:tcW w:w="16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除涝标准</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河道除涝标准</w:t>
            </w:r>
          </w:p>
        </w:tc>
        <w:tc>
          <w:tcPr>
            <w:tcW w:w="16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10年</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5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5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2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受益区群众对工程实施的满意度</w:t>
            </w:r>
          </w:p>
        </w:tc>
        <w:tc>
          <w:tcPr>
            <w:tcW w:w="16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88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31、美丽乡村建设资金绩效目标表</w:t>
      </w:r>
      <w:bookmarkStart w:id="31" w:name="_Toc9209"/>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31、美丽乡村建设资金绩效目标表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1"/>
    </w:p>
    <w:tbl>
      <w:tblPr>
        <w:tblStyle w:val="10"/>
        <w:tblW w:w="127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59"/>
        <w:gridCol w:w="112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59"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7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1、通过实施绿化、亮华、美化、硬化等工程实施，进一步提升我县村容村貌整体水平，打造生态宜居良好环境。</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2、通过实施美丽庭院奖补项目，提高农民参与人居环境人人创建的积极性。</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3、通过实施农村厕所运营维护项目，建立农村厕所运营长效管护机制。</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7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2190"/>
        <w:gridCol w:w="1725"/>
        <w:gridCol w:w="4035"/>
        <w:gridCol w:w="1395"/>
        <w:gridCol w:w="18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1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03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9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89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乡镇</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五个乡镇</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5个</w:t>
            </w:r>
          </w:p>
        </w:tc>
        <w:tc>
          <w:tcPr>
            <w:tcW w:w="189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施工质量</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各项施工质量</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189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工程完成时间</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各项工程验收完成时间各项工程完工时间</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189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可持续影响指标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长期使用性</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满足人民群众对村容村貌改善提升需求</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≥5年</w:t>
            </w:r>
          </w:p>
        </w:tc>
        <w:tc>
          <w:tcPr>
            <w:tcW w:w="189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调研走访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40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群众对村容村貌满意度</w:t>
            </w:r>
          </w:p>
        </w:tc>
        <w:tc>
          <w:tcPr>
            <w:tcW w:w="139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≥80%</w:t>
            </w:r>
          </w:p>
        </w:tc>
        <w:tc>
          <w:tcPr>
            <w:tcW w:w="189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调研走访</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32、密涿高速公路大厂段互通连接线供水管线迁改工程绩效目标表</w:t>
      </w:r>
      <w:bookmarkStart w:id="32" w:name="_Toc22134"/>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32、密涿高速公路大厂段互通连接线供水管线迁改工程绩效目标表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2"/>
    </w:p>
    <w:tbl>
      <w:tblPr>
        <w:tblStyle w:val="10"/>
        <w:tblW w:w="124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17"/>
        <w:gridCol w:w="111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1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127"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1、通过项目的开展主要配合“密涿高速公路大厂段互通连接线道路工程”建设，确保供用水安全，需要对道路规范内供水管线进行迁改。经对道路规范内供水管线进行迁改，确保陈府镇区供用水安全。</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2、通过项目的开展完成密涿高速公路大厂段互通连接线供水管线迁改工程，确保陈府镇区供用水安全。</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4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99"/>
        <w:gridCol w:w="1829"/>
        <w:gridCol w:w="1320"/>
        <w:gridCol w:w="2670"/>
        <w:gridCol w:w="1725"/>
        <w:gridCol w:w="35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29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8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3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6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56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8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管线长度</w:t>
            </w:r>
          </w:p>
        </w:tc>
        <w:tc>
          <w:tcPr>
            <w:tcW w:w="26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新建供水管线全长2907米</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2907米</w:t>
            </w:r>
          </w:p>
        </w:tc>
        <w:tc>
          <w:tcPr>
            <w:tcW w:w="356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验收合格</w:t>
            </w:r>
          </w:p>
        </w:tc>
        <w:tc>
          <w:tcPr>
            <w:tcW w:w="26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工程竣工验收符合规范要求，质量合格</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合格</w:t>
            </w:r>
          </w:p>
        </w:tc>
        <w:tc>
          <w:tcPr>
            <w:tcW w:w="356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6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356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施工组织设计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8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供水普及率</w:t>
            </w:r>
          </w:p>
        </w:tc>
        <w:tc>
          <w:tcPr>
            <w:tcW w:w="26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供用水人口与县人口总数的比率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56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2008年以来，全县供水普及率95%以上。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可持续影响指标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持续时长</w:t>
            </w:r>
          </w:p>
        </w:tc>
        <w:tc>
          <w:tcPr>
            <w:tcW w:w="26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项目持续发挥作用的年限</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≥50年</w:t>
            </w:r>
          </w:p>
        </w:tc>
        <w:tc>
          <w:tcPr>
            <w:tcW w:w="356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城镇给水排水技术规范GB5078-2012第6.1.2规定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29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82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3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用水户满意度</w:t>
            </w:r>
          </w:p>
        </w:tc>
        <w:tc>
          <w:tcPr>
            <w:tcW w:w="26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供用水服务综合满意度</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56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2018年6月至今供用水服务客服回该满意度95%以上。</w:t>
            </w:r>
          </w:p>
        </w:tc>
      </w:tr>
    </w:tbl>
    <w:p>
      <w:pPr>
        <w:ind w:firstLine="560" w:firstLineChars="200"/>
        <w:jc w:val="left"/>
        <w:outlineLvl w:val="1"/>
        <w:rPr>
          <w:rFonts w:hint="eastAsia" w:ascii="方正仿宋_GBK" w:hAnsi="方正仿宋_GBK" w:eastAsia="方正仿宋_GBK" w:cs="方正仿宋_GBK"/>
          <w:b/>
          <w:bCs w:val="0"/>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33、农产品品牌奖励资金绩效目标表</w:t>
      </w:r>
      <w:bookmarkStart w:id="33" w:name="_Toc23569"/>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33、农产品品牌奖励资金绩效目标表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3"/>
    </w:p>
    <w:tbl>
      <w:tblPr>
        <w:tblStyle w:val="10"/>
        <w:tblW w:w="1233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0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914"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1、通过加强全县农业品牌化建设，提升农产品质量，打造全域旅游实现乡村振兴，实现我县品牌农业上档升级。</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2、通过加强全县农业品牌化建设，提升农产品质量，打造全域旅游实现乡村振兴，实现我县品牌农业上档升级。</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3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1"/>
        <w:gridCol w:w="1628"/>
        <w:gridCol w:w="1620"/>
        <w:gridCol w:w="3405"/>
        <w:gridCol w:w="1815"/>
        <w:gridCol w:w="24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2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6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40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81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46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1"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2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组织领导</w:t>
            </w:r>
          </w:p>
        </w:tc>
        <w:tc>
          <w:tcPr>
            <w:tcW w:w="34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实施方案制定</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1个</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大办字【2018】135号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验收通过率</w:t>
            </w:r>
          </w:p>
        </w:tc>
        <w:tc>
          <w:tcPr>
            <w:tcW w:w="34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通过相关部门验收</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2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4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验收完成时间</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2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品牌知名度</w:t>
            </w:r>
          </w:p>
        </w:tc>
        <w:tc>
          <w:tcPr>
            <w:tcW w:w="34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品牌农业的知名度比上一年提升比率</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≥80%</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2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6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40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181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46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实施方案</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方正仿宋_GBK" w:hAnsi="方正仿宋_GBK" w:eastAsia="方正仿宋_GBK" w:cs="方正仿宋_GBK"/>
          <w:b/>
          <w:bCs w:val="0"/>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34、农产品质量安全检测运转经费绩效目标表</w:t>
      </w:r>
      <w:bookmarkStart w:id="34" w:name="_Toc32763"/>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34、农产品质量安全检测运转经费绩效目标表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4"/>
    </w:p>
    <w:tbl>
      <w:tblPr>
        <w:tblStyle w:val="10"/>
        <w:tblW w:w="1217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33"/>
        <w:gridCol w:w="103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33"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343"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1、通过采购农产品质量安全检测试剂，以解决农产品质量安全隐患。</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2、通过采购农产品质量安全检测试剂，以解决农产品质量安全隐患。</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18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3"/>
        <w:gridCol w:w="2018"/>
        <w:gridCol w:w="1327"/>
        <w:gridCol w:w="2573"/>
        <w:gridCol w:w="1276"/>
        <w:gridCol w:w="31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82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01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32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57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7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316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0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32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检测试剂数量</w:t>
            </w:r>
          </w:p>
        </w:tc>
        <w:tc>
          <w:tcPr>
            <w:tcW w:w="257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购买检测试剂数量</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≥100盒（瓶）</w:t>
            </w:r>
          </w:p>
        </w:tc>
        <w:tc>
          <w:tcPr>
            <w:tcW w:w="31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依照工作量测算每月均1万元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0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32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产品质量合格率</w:t>
            </w:r>
          </w:p>
        </w:tc>
        <w:tc>
          <w:tcPr>
            <w:tcW w:w="257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≥95比率</w:t>
            </w:r>
          </w:p>
        </w:tc>
        <w:tc>
          <w:tcPr>
            <w:tcW w:w="31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0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32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57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31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0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32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预防农产品质量安全发生</w:t>
            </w:r>
          </w:p>
        </w:tc>
        <w:tc>
          <w:tcPr>
            <w:tcW w:w="257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农产品质量安全发生率</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w:t>
            </w:r>
          </w:p>
        </w:tc>
        <w:tc>
          <w:tcPr>
            <w:tcW w:w="31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检测合格率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82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0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32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257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人民群众对农产品质量安全综合满意度</w:t>
            </w:r>
          </w:p>
        </w:tc>
        <w:tc>
          <w:tcPr>
            <w:tcW w:w="127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316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ind w:firstLine="560" w:firstLineChars="200"/>
        <w:jc w:val="left"/>
        <w:outlineLvl w:val="1"/>
        <w:rPr>
          <w:rFonts w:hint="eastAsia" w:ascii="方正仿宋_GBK" w:hAnsi="方正仿宋_GBK" w:eastAsia="方正仿宋_GBK" w:cs="方正仿宋_GBK"/>
          <w:b/>
          <w:bCs w:val="0"/>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35、农村土地承包经营权确权登记颁证绩效目标表</w:t>
      </w:r>
      <w:bookmarkStart w:id="35" w:name="_Toc4673"/>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35、农村土地承包经营权确权登记颁证绩效目标表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5"/>
    </w:p>
    <w:tbl>
      <w:tblPr>
        <w:tblStyle w:val="10"/>
        <w:tblW w:w="118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42"/>
        <w:gridCol w:w="104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42"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431"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农村土地承包经营权确权登记颁证项目，测定承包地块空间位置，建立土地承包经营权登记簿，发放土地承包经营权证书，妥善解决承包地块面积不准、四至不清、空间位置不明等问题，依法赋予农民更加充分而有保障的土地承包经营权。</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2、通过发放农村土地承包经营权证书和土地承包合同，完善土地承包确权登记颁证档案，建立农村土地承包经营权登记管理系统等项工作内容，提升农村土地承包经营管理规范化水平。</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187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1581"/>
        <w:gridCol w:w="1457"/>
        <w:gridCol w:w="3675"/>
        <w:gridCol w:w="1275"/>
        <w:gridCol w:w="24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8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45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6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45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4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发证率</w:t>
            </w:r>
          </w:p>
        </w:tc>
        <w:tc>
          <w:tcPr>
            <w:tcW w:w="36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发放证书数量占应发证数量的比例</w:t>
            </w:r>
          </w:p>
        </w:tc>
        <w:tc>
          <w:tcPr>
            <w:tcW w:w="12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4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廊农经管2019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4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工作质量</w:t>
            </w:r>
          </w:p>
        </w:tc>
        <w:tc>
          <w:tcPr>
            <w:tcW w:w="36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农村土地确权登记颁证整体工作通过省、市级验收</w:t>
            </w:r>
          </w:p>
        </w:tc>
        <w:tc>
          <w:tcPr>
            <w:tcW w:w="12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0等级</w:t>
            </w:r>
          </w:p>
        </w:tc>
        <w:tc>
          <w:tcPr>
            <w:tcW w:w="24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廊农经管2019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4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6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验收完成时间</w:t>
            </w:r>
          </w:p>
        </w:tc>
        <w:tc>
          <w:tcPr>
            <w:tcW w:w="12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4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廊农经管2019 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4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信访案件率</w:t>
            </w:r>
          </w:p>
        </w:tc>
        <w:tc>
          <w:tcPr>
            <w:tcW w:w="36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因土地承包经营纠纷引发的信访案件数量比上年数量下降比例</w:t>
            </w:r>
          </w:p>
        </w:tc>
        <w:tc>
          <w:tcPr>
            <w:tcW w:w="12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w:t>
            </w:r>
          </w:p>
        </w:tc>
        <w:tc>
          <w:tcPr>
            <w:tcW w:w="24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依据上年历史数据确定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2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45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农民满意度</w:t>
            </w:r>
          </w:p>
        </w:tc>
        <w:tc>
          <w:tcPr>
            <w:tcW w:w="36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农民对农村土地承包经营情况的综合满意度</w:t>
            </w:r>
          </w:p>
        </w:tc>
        <w:tc>
          <w:tcPr>
            <w:tcW w:w="12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4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依据实际需求调研确定</w:t>
            </w:r>
          </w:p>
        </w:tc>
      </w:tr>
    </w:tbl>
    <w:p>
      <w:pPr>
        <w:ind w:firstLine="560" w:firstLineChars="200"/>
        <w:jc w:val="left"/>
        <w:outlineLvl w:val="1"/>
        <w:rPr>
          <w:rFonts w:hint="eastAsia" w:ascii="方正仿宋_GBK" w:hAnsi="方正仿宋_GBK" w:eastAsia="方正仿宋_GBK" w:cs="方正仿宋_GBK"/>
          <w:b/>
          <w:bCs w:val="0"/>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36、农技员发放生活补贴绩效目标表</w:t>
      </w:r>
      <w:bookmarkStart w:id="36" w:name="_Toc19667"/>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36、农技员发放生活补贴绩效目标表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6"/>
    </w:p>
    <w:tbl>
      <w:tblPr>
        <w:tblStyle w:val="10"/>
        <w:tblW w:w="1181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2"/>
        <w:gridCol w:w="101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62"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153"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1、通过项目的开展，帮助解决原乡镇农技员生活条件，避免出现信访隐患。</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2、通过项目的开展，完成补助发放工作，实现按人足额及时发放，避免信访隐患。</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180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55"/>
        <w:gridCol w:w="1755"/>
        <w:gridCol w:w="1335"/>
        <w:gridCol w:w="3075"/>
        <w:gridCol w:w="1335"/>
        <w:gridCol w:w="26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6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7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33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07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3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64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5"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人数</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享受生活补贴人数</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11人</w:t>
            </w:r>
          </w:p>
        </w:tc>
        <w:tc>
          <w:tcPr>
            <w:tcW w:w="264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5"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补助覆盖率</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已领取补助农技员人数占已核定人数的比率</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64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5"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补贴资金发放完成时间</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1年</w:t>
            </w:r>
          </w:p>
        </w:tc>
        <w:tc>
          <w:tcPr>
            <w:tcW w:w="264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信访情况</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农技员信访人数</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11人</w:t>
            </w:r>
          </w:p>
        </w:tc>
        <w:tc>
          <w:tcPr>
            <w:tcW w:w="264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（大政办【2017】59号）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6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7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07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群众满意数量占总数的比例。</w:t>
            </w:r>
          </w:p>
        </w:tc>
        <w:tc>
          <w:tcPr>
            <w:tcW w:w="133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64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通过对受益农技员调查，绝大多数人员满意</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37、潘各庄桥重建工程绩效目标表</w:t>
      </w:r>
    </w:p>
    <w:tbl>
      <w:tblPr>
        <w:tblStyle w:val="10"/>
        <w:tblW w:w="122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80"/>
        <w:gridCol w:w="10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148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80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1、通过桥梁拆除重建，确保安全运行，保障人民生命财产安全</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2、通过桥梁拆除重建，确保安全运行，保障人民生命财产安全</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69"/>
        <w:gridCol w:w="1855"/>
        <w:gridCol w:w="1694"/>
        <w:gridCol w:w="3323"/>
        <w:gridCol w:w="1654"/>
        <w:gridCol w:w="22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92" w:hRule="atLeast"/>
          <w:tblHeader/>
          <w:jc w:val="center"/>
        </w:trPr>
        <w:tc>
          <w:tcPr>
            <w:tcW w:w="146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85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69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32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65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28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3" w:hRule="atLeast"/>
          <w:jc w:val="center"/>
        </w:trPr>
        <w:tc>
          <w:tcPr>
            <w:tcW w:w="1469"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8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6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桥梁数量</w:t>
            </w:r>
          </w:p>
        </w:tc>
        <w:tc>
          <w:tcPr>
            <w:tcW w:w="33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拆除重建桥梁数量</w:t>
            </w:r>
          </w:p>
        </w:tc>
        <w:tc>
          <w:tcPr>
            <w:tcW w:w="165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1座</w:t>
            </w:r>
          </w:p>
        </w:tc>
        <w:tc>
          <w:tcPr>
            <w:tcW w:w="22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项目初步设计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80" w:hRule="atLeast"/>
          <w:jc w:val="center"/>
        </w:trPr>
        <w:tc>
          <w:tcPr>
            <w:tcW w:w="146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6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w:t>
            </w:r>
          </w:p>
        </w:tc>
        <w:tc>
          <w:tcPr>
            <w:tcW w:w="33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工程质量达到合格标准</w:t>
            </w:r>
          </w:p>
        </w:tc>
        <w:tc>
          <w:tcPr>
            <w:tcW w:w="165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等级合格</w:t>
            </w:r>
          </w:p>
        </w:tc>
        <w:tc>
          <w:tcPr>
            <w:tcW w:w="22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5" w:hRule="atLeast"/>
          <w:jc w:val="center"/>
        </w:trPr>
        <w:tc>
          <w:tcPr>
            <w:tcW w:w="1469"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8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6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3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工程竣工验收完成时间</w:t>
            </w:r>
          </w:p>
        </w:tc>
        <w:tc>
          <w:tcPr>
            <w:tcW w:w="165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2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水利工程验收规范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2" w:hRule="atLeast"/>
          <w:jc w:val="center"/>
        </w:trPr>
        <w:tc>
          <w:tcPr>
            <w:tcW w:w="146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8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6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受益人口</w:t>
            </w:r>
          </w:p>
        </w:tc>
        <w:tc>
          <w:tcPr>
            <w:tcW w:w="33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工程建成受益区群众数量</w:t>
            </w:r>
          </w:p>
        </w:tc>
        <w:tc>
          <w:tcPr>
            <w:tcW w:w="165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≤1200人</w:t>
            </w:r>
          </w:p>
        </w:tc>
        <w:tc>
          <w:tcPr>
            <w:tcW w:w="22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国民经济统计数据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30" w:hRule="atLeast"/>
          <w:jc w:val="center"/>
        </w:trPr>
        <w:tc>
          <w:tcPr>
            <w:tcW w:w="146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85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69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32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受益区群众对工程实施的满意度</w:t>
            </w:r>
          </w:p>
        </w:tc>
        <w:tc>
          <w:tcPr>
            <w:tcW w:w="165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28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jc w:val="left"/>
        <w:outlineLvl w:val="1"/>
        <w:rPr>
          <w:rFonts w:hint="eastAsia" w:ascii="方正仿宋_GBK" w:hAnsi="方正仿宋_GBK" w:eastAsia="方正仿宋_GBK" w:cs="方正仿宋_GBK"/>
          <w:b/>
          <w:bCs w:val="0"/>
          <w:sz w:val="28"/>
          <w:szCs w:val="28"/>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38、省级乡村振兴示范区创建总体规划和专项规划编制费绩效目标表</w:t>
      </w:r>
      <w:bookmarkStart w:id="37" w:name="_Toc9112"/>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38、省级乡村振兴示范区创建总体规划和专项规划编制费绩效目标表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7"/>
    </w:p>
    <w:tbl>
      <w:tblPr>
        <w:tblStyle w:val="10"/>
        <w:tblW w:w="126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1"/>
        <w:gridCol w:w="113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3" w:hRule="atLeast"/>
          <w:jc w:val="center"/>
        </w:trPr>
        <w:tc>
          <w:tcPr>
            <w:tcW w:w="1301"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311"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1、2020年1月底前，完成项目招投标工作，与规划编制公司签订合同。</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2019年12月底前，完成规划编制。</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2、2020年6月底前，完成规划编制。</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0"/>
        <w:gridCol w:w="1558"/>
        <w:gridCol w:w="1751"/>
        <w:gridCol w:w="3969"/>
        <w:gridCol w:w="1752"/>
        <w:gridCol w:w="23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15" w:hRule="atLeast"/>
          <w:tblHeader/>
          <w:jc w:val="center"/>
        </w:trPr>
        <w:tc>
          <w:tcPr>
            <w:tcW w:w="12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5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5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96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75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33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jc w:val="center"/>
        </w:trPr>
        <w:tc>
          <w:tcPr>
            <w:tcW w:w="127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5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规划</w:t>
            </w:r>
          </w:p>
        </w:tc>
        <w:tc>
          <w:tcPr>
            <w:tcW w:w="39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总体规划书</w:t>
            </w:r>
          </w:p>
        </w:tc>
        <w:tc>
          <w:tcPr>
            <w:tcW w:w="175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1个</w:t>
            </w:r>
          </w:p>
        </w:tc>
        <w:tc>
          <w:tcPr>
            <w:tcW w:w="23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37" w:hRule="atLeast"/>
          <w:jc w:val="center"/>
        </w:trPr>
        <w:tc>
          <w:tcPr>
            <w:tcW w:w="12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5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规划</w:t>
            </w:r>
          </w:p>
        </w:tc>
        <w:tc>
          <w:tcPr>
            <w:tcW w:w="39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规划书通过率</w:t>
            </w:r>
          </w:p>
        </w:tc>
        <w:tc>
          <w:tcPr>
            <w:tcW w:w="175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3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8" w:hRule="atLeast"/>
          <w:jc w:val="center"/>
        </w:trPr>
        <w:tc>
          <w:tcPr>
            <w:tcW w:w="12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5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2020.6</w:t>
            </w:r>
          </w:p>
        </w:tc>
        <w:tc>
          <w:tcPr>
            <w:tcW w:w="39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编委会审议通过时间</w:t>
            </w:r>
          </w:p>
        </w:tc>
        <w:tc>
          <w:tcPr>
            <w:tcW w:w="175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≤6月份</w:t>
            </w:r>
          </w:p>
        </w:tc>
        <w:tc>
          <w:tcPr>
            <w:tcW w:w="23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3" w:hRule="atLeast"/>
          <w:jc w:val="center"/>
        </w:trPr>
        <w:tc>
          <w:tcPr>
            <w:tcW w:w="12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5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规划实施</w:t>
            </w:r>
          </w:p>
        </w:tc>
        <w:tc>
          <w:tcPr>
            <w:tcW w:w="39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规划实施效果</w:t>
            </w:r>
          </w:p>
        </w:tc>
        <w:tc>
          <w:tcPr>
            <w:tcW w:w="175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3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66" w:hRule="atLeast"/>
          <w:jc w:val="center"/>
        </w:trPr>
        <w:tc>
          <w:tcPr>
            <w:tcW w:w="12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5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5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396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群众对规划实施后综合满意度</w:t>
            </w:r>
          </w:p>
        </w:tc>
        <w:tc>
          <w:tcPr>
            <w:tcW w:w="175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≥70%</w:t>
            </w:r>
          </w:p>
        </w:tc>
        <w:tc>
          <w:tcPr>
            <w:tcW w:w="23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调研走访</w:t>
            </w:r>
          </w:p>
        </w:tc>
      </w:tr>
    </w:tbl>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39、实验室污水处理系统绩效目标表</w:t>
      </w:r>
      <w:bookmarkStart w:id="38" w:name="_Toc6337"/>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39、实验室污水处理系统绩效目标表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8"/>
    </w:p>
    <w:tbl>
      <w:tblPr>
        <w:tblStyle w:val="10"/>
        <w:tblW w:w="127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4"/>
        <w:gridCol w:w="112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4" w:hRule="atLeast"/>
          <w:jc w:val="center"/>
        </w:trPr>
        <w:tc>
          <w:tcPr>
            <w:tcW w:w="153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206"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1、通过采购污水处理器，以防止实验室污水污染环境。</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2、通过采购污水处理器，以防止实验室污水污染环境。</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6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73"/>
        <w:gridCol w:w="1537"/>
        <w:gridCol w:w="1730"/>
        <w:gridCol w:w="3920"/>
        <w:gridCol w:w="1730"/>
        <w:gridCol w:w="23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1" w:hRule="atLeast"/>
          <w:tblHeader/>
          <w:jc w:val="center"/>
        </w:trPr>
        <w:tc>
          <w:tcPr>
            <w:tcW w:w="147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37"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92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7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306"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473"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3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污水处理器</w:t>
            </w:r>
          </w:p>
        </w:tc>
        <w:tc>
          <w:tcPr>
            <w:tcW w:w="39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购买污水处理器</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2台</w:t>
            </w:r>
          </w:p>
        </w:tc>
        <w:tc>
          <w:tcPr>
            <w:tcW w:w="23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jc w:val="center"/>
        </w:trPr>
        <w:tc>
          <w:tcPr>
            <w:tcW w:w="147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产品验收合格率</w:t>
            </w:r>
          </w:p>
        </w:tc>
        <w:tc>
          <w:tcPr>
            <w:tcW w:w="39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产品验收合格率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23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1" w:hRule="atLeast"/>
          <w:jc w:val="center"/>
        </w:trPr>
        <w:tc>
          <w:tcPr>
            <w:tcW w:w="1473"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9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3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147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3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污水处理率</w:t>
            </w:r>
          </w:p>
        </w:tc>
        <w:tc>
          <w:tcPr>
            <w:tcW w:w="39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实验室污水处理率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3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8" w:hRule="atLeast"/>
          <w:jc w:val="center"/>
        </w:trPr>
        <w:tc>
          <w:tcPr>
            <w:tcW w:w="147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37"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人民群众满意度</w:t>
            </w:r>
          </w:p>
        </w:tc>
        <w:tc>
          <w:tcPr>
            <w:tcW w:w="392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人民群众对实验室污水处理满意度</w:t>
            </w:r>
          </w:p>
        </w:tc>
        <w:tc>
          <w:tcPr>
            <w:tcW w:w="17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306"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jc w:val="left"/>
        <w:outlineLvl w:val="1"/>
        <w:rPr>
          <w:rFonts w:hint="eastAsia" w:ascii="方正仿宋_GBK" w:hAnsi="方正仿宋_GBK" w:eastAsia="方正仿宋_GBK" w:cs="方正仿宋_GBK"/>
          <w:b w:val="0"/>
          <w:bCs/>
          <w:sz w:val="28"/>
          <w:szCs w:val="28"/>
          <w:u w:val="none"/>
          <w:lang w:eastAsia="zh-CN"/>
        </w:rPr>
      </w:pPr>
    </w:p>
    <w:p>
      <w:pPr>
        <w:jc w:val="left"/>
        <w:outlineLvl w:val="1"/>
        <w:rPr>
          <w:rFonts w:hint="eastAsia" w:ascii="Times New Roman" w:hAnsi="宋体" w:eastAsia="宋体" w:cs="宋体"/>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40、水平衡测试项目绩效目标表</w:t>
      </w:r>
      <w:bookmarkStart w:id="39" w:name="_Toc5006"/>
      <w:r>
        <w:rPr>
          <w:b w:val="0"/>
          <w:bCs/>
          <w:sz w:val="28"/>
          <w:szCs w:val="28"/>
        </w:rPr>
        <w:fldChar w:fldCharType="begin"/>
      </w:r>
      <w:r>
        <w:rPr>
          <w:rFonts w:hint="eastAsia" w:ascii="方正仿宋_GBK" w:hAnsi="方正仿宋_GBK" w:eastAsia="方正仿宋_GBK" w:cs="方正仿宋_GBK"/>
          <w:b w:val="0"/>
          <w:bCs/>
          <w:sz w:val="28"/>
          <w:szCs w:val="28"/>
          <w:u w:val="none"/>
          <w:lang w:eastAsia="zh-CN"/>
        </w:rPr>
        <w:instrText xml:space="preserve"> TC 40、水平衡测试项目绩效目标表 \f C \l 1 </w:instrText>
      </w:r>
      <w:r>
        <w:rPr>
          <w:rFonts w:hint="eastAsia" w:ascii="方正仿宋_GBK" w:hAnsi="方正仿宋_GBK" w:eastAsia="方正仿宋_GBK" w:cs="方正仿宋_GBK"/>
          <w:b w:val="0"/>
          <w:bCs/>
          <w:sz w:val="28"/>
          <w:szCs w:val="28"/>
          <w:u w:val="none"/>
          <w:lang w:eastAsia="zh-CN"/>
        </w:rPr>
        <w:fldChar w:fldCharType="end"/>
      </w:r>
      <w:bookmarkEnd w:id="39"/>
    </w:p>
    <w:tbl>
      <w:tblPr>
        <w:tblStyle w:val="10"/>
        <w:tblW w:w="1331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11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473" w:hRule="atLeast"/>
          <w:jc w:val="center"/>
        </w:trPr>
        <w:tc>
          <w:tcPr>
            <w:tcW w:w="1417"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90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1、通过项目的开展促进企业合理用水，加强用水科学管理，保护水资源；可以摸清企业的用水状况，了解用水水平，明确节水潜力，从而能有的放矢地采取措施，达到节约用水的目的。</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2、通过项目的开展促进企业合理用水，加强用水科学管理，保护水资源；可以摸清企业的用水状况，了解用水水平，明确节水潜力，从而能有的放矢地采取措施，达到节约用水的目的。</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32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0"/>
        <w:gridCol w:w="2134"/>
        <w:gridCol w:w="3300"/>
        <w:gridCol w:w="2684"/>
        <w:gridCol w:w="1392"/>
        <w:gridCol w:w="2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7" w:hRule="atLeast"/>
          <w:tblHeader/>
          <w:jc w:val="center"/>
        </w:trPr>
        <w:tc>
          <w:tcPr>
            <w:tcW w:w="13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13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33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68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9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4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8" w:hRule="atLeast"/>
          <w:jc w:val="center"/>
        </w:trPr>
        <w:tc>
          <w:tcPr>
            <w:tcW w:w="137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测试单位数量</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开展水平衡测试</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单位数量</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≥1个</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《河北省实施&lt;中华人民共和国水法&gt;办法》第四十三条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 w:hRule="atLeast"/>
          <w:jc w:val="center"/>
        </w:trPr>
        <w:tc>
          <w:tcPr>
            <w:tcW w:w="13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测试结果质量</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通过专家验收</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等级</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水平衡测试验收规范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3" w:hRule="atLeast"/>
          <w:jc w:val="center"/>
        </w:trPr>
        <w:tc>
          <w:tcPr>
            <w:tcW w:w="13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测试结果完成时间</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水平衡测试验收规范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0" w:hRule="atLeast"/>
          <w:jc w:val="center"/>
        </w:trPr>
        <w:tc>
          <w:tcPr>
            <w:tcW w:w="137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建立企业用水档案，对各用水环节用水现状进行合理分析，找出薄弱环节和节水潜力</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有利于企业进行用水规划，完善考核制度，调动整个企业的节水积极性</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6" w:hRule="atLeast"/>
          <w:jc w:val="center"/>
        </w:trPr>
        <w:tc>
          <w:tcPr>
            <w:tcW w:w="13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经济效益指标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挖掘企业节水潜力，减少水资源使用，降低企业成本</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挖掘企业节水潜力，减少水资源使用，降低企业成本</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14" w:hRule="atLeast"/>
          <w:jc w:val="center"/>
        </w:trPr>
        <w:tc>
          <w:tcPr>
            <w:tcW w:w="13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生态效益指标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促使企业合理用水、加强用水科学管理、节约用水、保护水资源</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对于地下水压采效果评估、用水量分析、节水潜能分析均具有一定的指导意义。</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1" w:hRule="atLeast"/>
          <w:jc w:val="center"/>
        </w:trPr>
        <w:tc>
          <w:tcPr>
            <w:tcW w:w="137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1" w:hRule="atLeast"/>
          <w:jc w:val="center"/>
        </w:trPr>
        <w:tc>
          <w:tcPr>
            <w:tcW w:w="13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7" w:hRule="atLeast"/>
          <w:jc w:val="center"/>
        </w:trPr>
        <w:tc>
          <w:tcPr>
            <w:tcW w:w="137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3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33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群众满意度</w:t>
            </w:r>
          </w:p>
        </w:tc>
        <w:tc>
          <w:tcPr>
            <w:tcW w:w="268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群众对工程质量的满意度</w:t>
            </w:r>
          </w:p>
        </w:tc>
        <w:tc>
          <w:tcPr>
            <w:tcW w:w="139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4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行业经验</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Times New Roman" w:hAnsi="宋体" w:eastAsia="宋体" w:cs="宋体"/>
          <w:b w:val="0"/>
          <w:bCs/>
          <w:sz w:val="21"/>
          <w:szCs w:val="21"/>
          <w:u w:val="none"/>
          <w:lang w:eastAsia="zh-CN"/>
        </w:rPr>
      </w:pPr>
      <w:r>
        <w:rPr>
          <w:rFonts w:hint="eastAsia" w:ascii="方正仿宋_GBK" w:hAnsi="方正仿宋_GBK" w:eastAsia="方正仿宋_GBK" w:cs="方正仿宋_GBK"/>
          <w:b w:val="0"/>
          <w:bCs/>
          <w:sz w:val="28"/>
          <w:szCs w:val="28"/>
          <w:u w:val="none"/>
          <w:lang w:eastAsia="zh-CN"/>
        </w:rPr>
        <w:t>41、夏垫镇区供水管网改造工程绩效目标表</w:t>
      </w:r>
      <w:bookmarkStart w:id="40" w:name="_Toc22777"/>
      <w:r>
        <w:rPr>
          <w:b w:val="0"/>
          <w:bCs/>
          <w:sz w:val="21"/>
          <w:szCs w:val="21"/>
        </w:rPr>
        <w:fldChar w:fldCharType="begin"/>
      </w:r>
      <w:r>
        <w:rPr>
          <w:rFonts w:hint="eastAsia" w:ascii="方正仿宋_GBK" w:hAnsi="方正仿宋_GBK" w:eastAsia="方正仿宋_GBK" w:cs="方正仿宋_GBK"/>
          <w:b w:val="0"/>
          <w:bCs/>
          <w:sz w:val="21"/>
          <w:szCs w:val="21"/>
          <w:u w:val="none"/>
          <w:lang w:eastAsia="zh-CN"/>
        </w:rPr>
        <w:instrText xml:space="preserve"> TC 41、夏垫镇区供水管网改造工程绩效目标表 \f C \l 1 </w:instrText>
      </w:r>
      <w:r>
        <w:rPr>
          <w:rFonts w:hint="eastAsia" w:ascii="方正仿宋_GBK" w:hAnsi="方正仿宋_GBK" w:eastAsia="方正仿宋_GBK" w:cs="方正仿宋_GBK"/>
          <w:b w:val="0"/>
          <w:bCs/>
          <w:sz w:val="21"/>
          <w:szCs w:val="21"/>
          <w:u w:val="none"/>
          <w:lang w:eastAsia="zh-CN"/>
        </w:rPr>
        <w:fldChar w:fldCharType="end"/>
      </w:r>
      <w:bookmarkEnd w:id="40"/>
    </w:p>
    <w:tbl>
      <w:tblPr>
        <w:tblStyle w:val="10"/>
        <w:tblW w:w="126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8"/>
        <w:gridCol w:w="111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822" w:hRule="atLeast"/>
          <w:jc w:val="center"/>
        </w:trPr>
        <w:tc>
          <w:tcPr>
            <w:tcW w:w="1528"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152"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项目的开展主要解决夏垫镇区供水管网管径偏小、输配水能力弱等问题，为了满足居民用水需求，必须扩建配套的配水管网。可有效解决102中道以北的力宝国际（三号社区）等、102国道以南新建小区项目的用水问题，提升夏垫区域供水的安全稳定性。</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2、通过项目的开展完成夏垫镇区供水管网改造工程建设，有效解决102中道以北的力宝国际（三号社区）等、102国道以南新建小区项目的用水问题，提升夏垫区域供水的安全稳定性。</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7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32"/>
        <w:gridCol w:w="1533"/>
        <w:gridCol w:w="1724"/>
        <w:gridCol w:w="3908"/>
        <w:gridCol w:w="1725"/>
        <w:gridCol w:w="2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0" w:hRule="atLeast"/>
          <w:tblHeader/>
          <w:jc w:val="center"/>
        </w:trPr>
        <w:tc>
          <w:tcPr>
            <w:tcW w:w="153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3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24"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390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72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29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4" w:hRule="atLeast"/>
          <w:jc w:val="center"/>
        </w:trPr>
        <w:tc>
          <w:tcPr>
            <w:tcW w:w="1532"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管线长度</w:t>
            </w:r>
          </w:p>
        </w:tc>
        <w:tc>
          <w:tcPr>
            <w:tcW w:w="390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新建供水管线全长7765.51米</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7765.51米</w:t>
            </w:r>
          </w:p>
        </w:tc>
        <w:tc>
          <w:tcPr>
            <w:tcW w:w="229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施工设计图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4" w:hRule="atLeast"/>
          <w:jc w:val="center"/>
        </w:trPr>
        <w:tc>
          <w:tcPr>
            <w:tcW w:w="153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2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验收合格</w:t>
            </w:r>
          </w:p>
        </w:tc>
        <w:tc>
          <w:tcPr>
            <w:tcW w:w="390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工程竣工验收符合规范要求，质量合格</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0合格</w:t>
            </w:r>
          </w:p>
        </w:tc>
        <w:tc>
          <w:tcPr>
            <w:tcW w:w="229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《给水排水管道工程施工及验收规范》GB/50268-2008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7" w:hRule="atLeast"/>
          <w:jc w:val="center"/>
        </w:trPr>
        <w:tc>
          <w:tcPr>
            <w:tcW w:w="153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72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390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工程竣工验收</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≤9月份</w:t>
            </w:r>
          </w:p>
        </w:tc>
        <w:tc>
          <w:tcPr>
            <w:tcW w:w="229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施工组织设计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90" w:hRule="atLeast"/>
          <w:jc w:val="center"/>
        </w:trPr>
        <w:tc>
          <w:tcPr>
            <w:tcW w:w="1532"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2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供水普及率</w:t>
            </w:r>
          </w:p>
        </w:tc>
        <w:tc>
          <w:tcPr>
            <w:tcW w:w="390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供用水人口与县人口总数的比率</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29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2008年以来，全县供水普及率95%以上。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73" w:hRule="atLeast"/>
          <w:jc w:val="center"/>
        </w:trPr>
        <w:tc>
          <w:tcPr>
            <w:tcW w:w="153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可持续影响指标</w:t>
            </w:r>
          </w:p>
        </w:tc>
        <w:tc>
          <w:tcPr>
            <w:tcW w:w="172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持续时长</w:t>
            </w:r>
          </w:p>
        </w:tc>
        <w:tc>
          <w:tcPr>
            <w:tcW w:w="390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项目持续发挥作用的年限</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≥50年</w:t>
            </w:r>
          </w:p>
        </w:tc>
        <w:tc>
          <w:tcPr>
            <w:tcW w:w="229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城镇给水排水技术规范GB5078-2012第6.1.2规定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8" w:hRule="atLeast"/>
          <w:jc w:val="center"/>
        </w:trPr>
        <w:tc>
          <w:tcPr>
            <w:tcW w:w="153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24"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用水户满意度</w:t>
            </w:r>
          </w:p>
        </w:tc>
        <w:tc>
          <w:tcPr>
            <w:tcW w:w="390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供用水服务综合满意度</w:t>
            </w:r>
          </w:p>
        </w:tc>
        <w:tc>
          <w:tcPr>
            <w:tcW w:w="172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229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2018年6月至今供用水服务客服回该满意度95%以上。</w:t>
            </w:r>
          </w:p>
        </w:tc>
      </w:tr>
    </w:tbl>
    <w:p>
      <w:pPr>
        <w:ind w:firstLine="560" w:firstLineChars="200"/>
        <w:jc w:val="left"/>
        <w:outlineLvl w:val="1"/>
        <w:rPr>
          <w:rFonts w:hint="eastAsia" w:ascii="方正仿宋_GBK" w:hAnsi="方正仿宋_GBK" w:eastAsia="方正仿宋_GBK" w:cs="方正仿宋_GBK"/>
          <w:b w:val="0"/>
          <w:bCs/>
          <w:sz w:val="28"/>
          <w:szCs w:val="28"/>
          <w:u w:val="none"/>
          <w:lang w:eastAsia="zh-CN"/>
        </w:rPr>
      </w:pPr>
    </w:p>
    <w:p>
      <w:pPr>
        <w:ind w:firstLine="560" w:firstLineChars="200"/>
        <w:jc w:val="left"/>
        <w:outlineLvl w:val="1"/>
        <w:rPr>
          <w:rFonts w:hint="eastAsia" w:ascii="方正仿宋_GBK" w:hAnsi="方正仿宋_GBK" w:eastAsia="方正仿宋_GBK" w:cs="方正仿宋_GBK"/>
          <w:b w:val="0"/>
          <w:bCs/>
          <w:sz w:val="28"/>
          <w:szCs w:val="28"/>
          <w:u w:val="none"/>
          <w:lang w:eastAsia="zh-CN"/>
        </w:rPr>
      </w:pPr>
      <w:r>
        <w:rPr>
          <w:rFonts w:hint="eastAsia" w:ascii="方正仿宋_GBK" w:hAnsi="方正仿宋_GBK" w:eastAsia="方正仿宋_GBK" w:cs="方正仿宋_GBK"/>
          <w:b w:val="0"/>
          <w:bCs/>
          <w:sz w:val="28"/>
          <w:szCs w:val="28"/>
          <w:u w:val="none"/>
          <w:lang w:eastAsia="zh-CN"/>
        </w:rPr>
        <w:t>42、县级农产品质量安全检测机构申请“双认证”绩效目标表</w:t>
      </w:r>
    </w:p>
    <w:tbl>
      <w:tblPr>
        <w:tblStyle w:val="10"/>
        <w:tblW w:w="129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80"/>
        <w:gridCol w:w="105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8" w:hRule="atLeast"/>
          <w:jc w:val="center"/>
        </w:trPr>
        <w:tc>
          <w:tcPr>
            <w:tcW w:w="2380"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0580"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1、通过采购农产品检测设备、试剂耗材及咨询工作，以解决农产品质量安全隐患。</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2、通过采购农产品检测设备、试剂耗材及咨询工作，以解决农产品质量安全隐患。</w:t>
            </w:r>
          </w:p>
        </w:tc>
      </w:tr>
    </w:tbl>
    <w:tbl>
      <w:tblPr>
        <w:tblStyle w:val="10"/>
        <w:tblpPr w:leftFromText="180" w:rightFromText="180" w:vertAnchor="text" w:horzAnchor="page" w:tblpX="1638" w:tblpY="13"/>
        <w:tblOverlap w:val="never"/>
        <w:tblW w:w="129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51"/>
        <w:gridCol w:w="2190"/>
        <w:gridCol w:w="1500"/>
        <w:gridCol w:w="2818"/>
        <w:gridCol w:w="2082"/>
        <w:gridCol w:w="19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8" w:hRule="atLeast"/>
          <w:tblHeader/>
        </w:trPr>
        <w:tc>
          <w:tcPr>
            <w:tcW w:w="235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219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5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81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208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199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04" w:hRule="atLeast"/>
        </w:trPr>
        <w:tc>
          <w:tcPr>
            <w:tcW w:w="2351"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农产品检测设备</w:t>
            </w:r>
          </w:p>
        </w:tc>
        <w:tc>
          <w:tcPr>
            <w:tcW w:w="2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购买农产品检测设备</w:t>
            </w:r>
          </w:p>
        </w:tc>
        <w:tc>
          <w:tcPr>
            <w:tcW w:w="208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1台</w:t>
            </w:r>
          </w:p>
        </w:tc>
        <w:tc>
          <w:tcPr>
            <w:tcW w:w="19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市场询价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9" w:hRule="atLeast"/>
        </w:trPr>
        <w:tc>
          <w:tcPr>
            <w:tcW w:w="235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产品质量合格率</w:t>
            </w:r>
          </w:p>
        </w:tc>
        <w:tc>
          <w:tcPr>
            <w:tcW w:w="2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产品合格率</w:t>
            </w:r>
          </w:p>
        </w:tc>
        <w:tc>
          <w:tcPr>
            <w:tcW w:w="208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≥95比率</w:t>
            </w:r>
          </w:p>
        </w:tc>
        <w:tc>
          <w:tcPr>
            <w:tcW w:w="19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产品合格证书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4" w:hRule="atLeast"/>
        </w:trPr>
        <w:tc>
          <w:tcPr>
            <w:tcW w:w="2351"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采购完成时间</w:t>
            </w:r>
          </w:p>
        </w:tc>
        <w:tc>
          <w:tcPr>
            <w:tcW w:w="208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≤12月份</w:t>
            </w:r>
          </w:p>
        </w:tc>
        <w:tc>
          <w:tcPr>
            <w:tcW w:w="19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开支计划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8" w:hRule="atLeast"/>
        </w:trPr>
        <w:tc>
          <w:tcPr>
            <w:tcW w:w="235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预防农产品质量安全发生</w:t>
            </w:r>
          </w:p>
        </w:tc>
        <w:tc>
          <w:tcPr>
            <w:tcW w:w="2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农产品质量安全发生率</w:t>
            </w:r>
          </w:p>
        </w:tc>
        <w:tc>
          <w:tcPr>
            <w:tcW w:w="208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≤3%</w:t>
            </w:r>
          </w:p>
        </w:tc>
        <w:tc>
          <w:tcPr>
            <w:tcW w:w="19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检测合格率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trPr>
        <w:tc>
          <w:tcPr>
            <w:tcW w:w="235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219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50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人民群众满意度</w:t>
            </w:r>
          </w:p>
        </w:tc>
        <w:tc>
          <w:tcPr>
            <w:tcW w:w="281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人民群众对农产品质量安全综合满意度</w:t>
            </w:r>
          </w:p>
        </w:tc>
        <w:tc>
          <w:tcPr>
            <w:tcW w:w="2082"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199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调查问卷</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sectPr>
          <w:pgSz w:w="16838" w:h="11905" w:orient="landscape"/>
          <w:pgMar w:top="1304" w:right="1984" w:bottom="1304" w:left="1134" w:header="851" w:footer="992" w:gutter="0"/>
          <w:cols w:space="720" w:num="1"/>
          <w:rtlGutter w:val="0"/>
          <w:docGrid w:type="lines" w:linePitch="312" w:charSpace="0"/>
        </w:sectPr>
      </w:pPr>
    </w:p>
    <w:p>
      <w:pPr>
        <w:spacing w:line="300" w:lineRule="exact"/>
        <w:ind w:firstLine="420" w:firstLineChars="200"/>
        <w:jc w:val="left"/>
        <w:outlineLvl w:val="9"/>
        <w:rPr>
          <w:rFonts w:hint="eastAsia" w:ascii="方正书宋_GBK" w:hAnsi="方正书宋_GBK" w:eastAsia="方正书宋_GBK" w:cs="方正书宋_GBK"/>
          <w:b w:val="0"/>
          <w:bCs/>
          <w:sz w:val="21"/>
          <w:szCs w:val="21"/>
          <w:u w:val="none"/>
          <w:lang w:eastAsia="zh-CN"/>
        </w:rPr>
      </w:pPr>
    </w:p>
    <w:p>
      <w:pPr>
        <w:ind w:firstLine="560" w:firstLineChars="200"/>
        <w:jc w:val="left"/>
        <w:outlineLvl w:val="1"/>
        <w:rPr>
          <w:rFonts w:hint="eastAsia" w:ascii="方正仿宋_GBK" w:hAnsi="Calibri" w:eastAsia="方正仿宋_GBK" w:cs="Calibri"/>
          <w:b w:val="0"/>
          <w:bCs/>
          <w:sz w:val="28"/>
          <w:szCs w:val="21"/>
          <w:lang w:eastAsia="zh-CN"/>
        </w:rPr>
      </w:pPr>
      <w:r>
        <w:rPr>
          <w:rFonts w:hint="eastAsia" w:ascii="方正仿宋_GBK" w:hAnsi="Calibri" w:eastAsia="方正仿宋_GBK" w:cs="Calibri"/>
          <w:b w:val="0"/>
          <w:bCs/>
          <w:sz w:val="28"/>
          <w:szCs w:val="21"/>
          <w:lang w:eastAsia="zh-CN"/>
        </w:rPr>
        <w:t>43、畜禽屠宰视频监控网络通信费绩效目标表</w:t>
      </w:r>
    </w:p>
    <w:tbl>
      <w:tblPr>
        <w:tblStyle w:val="10"/>
        <w:tblW w:w="1292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5"/>
        <w:gridCol w:w="11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3" w:hRule="atLeast"/>
          <w:jc w:val="center"/>
        </w:trPr>
        <w:tc>
          <w:tcPr>
            <w:tcW w:w="1435"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492"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1、通过实施该项目，确保证我县畜禽屠宰视频监控网络正常运行</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2、通过实施该项目，确保证我县畜禽屠宰视频监控网络正常运行</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94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0"/>
        <w:gridCol w:w="1633"/>
        <w:gridCol w:w="1770"/>
        <w:gridCol w:w="4665"/>
        <w:gridCol w:w="1230"/>
        <w:gridCol w:w="22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atLeast"/>
          <w:tblHeader/>
          <w:jc w:val="center"/>
        </w:trPr>
        <w:tc>
          <w:tcPr>
            <w:tcW w:w="14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633"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77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466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2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2249"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89" w:hRule="atLeast"/>
          <w:jc w:val="center"/>
        </w:trPr>
        <w:tc>
          <w:tcPr>
            <w:tcW w:w="1400"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6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成本指标</w:t>
            </w:r>
          </w:p>
        </w:tc>
        <w:tc>
          <w:tcPr>
            <w:tcW w:w="17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专线网络</w:t>
            </w:r>
          </w:p>
        </w:tc>
        <w:tc>
          <w:tcPr>
            <w:tcW w:w="4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畜禽屠宰视频监控专线网络</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1条</w:t>
            </w:r>
          </w:p>
        </w:tc>
        <w:tc>
          <w:tcPr>
            <w:tcW w:w="224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140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数量指标</w:t>
            </w:r>
          </w:p>
        </w:tc>
        <w:tc>
          <w:tcPr>
            <w:tcW w:w="17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网络带宽</w:t>
            </w:r>
          </w:p>
        </w:tc>
        <w:tc>
          <w:tcPr>
            <w:tcW w:w="4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畜禽屠宰视频监控网络带宽</w:t>
            </w:r>
            <w:r>
              <w:rPr>
                <w:rFonts w:hint="eastAsia" w:ascii="方正书宋_GBK" w:hAnsi="方正书宋_GBK" w:eastAsia="方正书宋_GBK" w:cs="方正书宋_GBK"/>
                <w:b w:val="0"/>
                <w:bCs/>
                <w:sz w:val="21"/>
                <w:szCs w:val="21"/>
                <w:u w:val="none"/>
                <w:vertAlign w:val="baseline"/>
                <w:lang w:eastAsia="zh-CN"/>
              </w:rPr>
              <w:tab/>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50兆</w:t>
            </w:r>
          </w:p>
        </w:tc>
        <w:tc>
          <w:tcPr>
            <w:tcW w:w="224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3" w:hRule="atLeast"/>
          <w:jc w:val="center"/>
        </w:trPr>
        <w:tc>
          <w:tcPr>
            <w:tcW w:w="1400"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6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7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网络到期时间</w:t>
            </w:r>
          </w:p>
        </w:tc>
        <w:tc>
          <w:tcPr>
            <w:tcW w:w="4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畜禽屠宰视频监控网络到期时间</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11月份</w:t>
            </w:r>
          </w:p>
        </w:tc>
        <w:tc>
          <w:tcPr>
            <w:tcW w:w="224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网络接入项目合同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14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6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7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违法行为发生率</w:t>
            </w:r>
          </w:p>
        </w:tc>
        <w:tc>
          <w:tcPr>
            <w:tcW w:w="4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私屠滥宰、注水等违法行占全年总立案量的比率</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&lt;10%</w:t>
            </w:r>
          </w:p>
        </w:tc>
        <w:tc>
          <w:tcPr>
            <w:tcW w:w="224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2020年立案统计表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7" w:hRule="atLeast"/>
          <w:jc w:val="center"/>
        </w:trPr>
        <w:tc>
          <w:tcPr>
            <w:tcW w:w="140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633"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77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使用满意度</w:t>
            </w:r>
          </w:p>
        </w:tc>
        <w:tc>
          <w:tcPr>
            <w:tcW w:w="466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单位对视频监控网络使用情况满意度</w:t>
            </w:r>
          </w:p>
        </w:tc>
        <w:tc>
          <w:tcPr>
            <w:tcW w:w="12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≥90%</w:t>
            </w:r>
          </w:p>
        </w:tc>
        <w:tc>
          <w:tcPr>
            <w:tcW w:w="2249"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实际使用情况</w:t>
            </w:r>
          </w:p>
        </w:tc>
      </w:tr>
    </w:tbl>
    <w:p>
      <w:pPr>
        <w:ind w:firstLine="560" w:firstLineChars="200"/>
        <w:jc w:val="left"/>
        <w:outlineLvl w:val="1"/>
        <w:rPr>
          <w:rFonts w:hint="eastAsia" w:ascii="方正仿宋_GBK" w:hAnsi="Calibri" w:eastAsia="方正仿宋_GBK" w:cs="Calibri"/>
          <w:b w:val="0"/>
          <w:bCs/>
          <w:sz w:val="28"/>
          <w:szCs w:val="21"/>
          <w:lang w:eastAsia="zh-CN"/>
        </w:rPr>
      </w:pPr>
    </w:p>
    <w:p>
      <w:pPr>
        <w:ind w:firstLine="560" w:firstLineChars="200"/>
        <w:jc w:val="left"/>
        <w:outlineLvl w:val="1"/>
        <w:rPr>
          <w:rFonts w:hint="eastAsia" w:ascii="方正仿宋_GBK" w:hAnsi="Calibri" w:eastAsia="方正仿宋_GBK" w:cs="Calibri"/>
          <w:b/>
          <w:sz w:val="28"/>
          <w:szCs w:val="21"/>
          <w:lang w:eastAsia="zh-CN"/>
        </w:rPr>
      </w:pPr>
      <w:r>
        <w:rPr>
          <w:rFonts w:hint="eastAsia" w:ascii="方正仿宋_GBK" w:hAnsi="Calibri" w:eastAsia="方正仿宋_GBK" w:cs="Calibri"/>
          <w:b w:val="0"/>
          <w:bCs/>
          <w:sz w:val="28"/>
          <w:szCs w:val="21"/>
          <w:lang w:eastAsia="zh-CN"/>
        </w:rPr>
        <w:t>44、原驾校车辆维修、保险费用绩效目标表</w:t>
      </w:r>
    </w:p>
    <w:tbl>
      <w:tblPr>
        <w:tblStyle w:val="10"/>
        <w:tblW w:w="128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84"/>
        <w:gridCol w:w="115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0" w:hRule="atLeast"/>
          <w:jc w:val="center"/>
        </w:trPr>
        <w:tc>
          <w:tcPr>
            <w:tcW w:w="1384" w:type="dxa"/>
            <w:tcBorders>
              <w:bottom w:val="nil"/>
            </w:tcBorders>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绩效目标</w:t>
            </w:r>
          </w:p>
        </w:tc>
        <w:tc>
          <w:tcPr>
            <w:tcW w:w="11511" w:type="dxa"/>
            <w:tcBorders>
              <w:bottom w:val="nil"/>
            </w:tcBorders>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1、通过此项目的实施，保障车改工作顺利完成。</w:t>
            </w:r>
          </w:p>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2、通过此项目的实施，保障车改工作顺利完成。</w:t>
            </w:r>
          </w:p>
        </w:tc>
      </w:tr>
    </w:tbl>
    <w:p>
      <w:pPr>
        <w:spacing w:line="14" w:lineRule="exact"/>
        <w:ind w:firstLine="420" w:firstLineChars="200"/>
        <w:jc w:val="center"/>
        <w:outlineLvl w:val="9"/>
        <w:rPr>
          <w:rFonts w:hint="eastAsia" w:ascii="Times New Roman" w:hAnsi="宋体" w:eastAsia="宋体" w:cs="宋体"/>
          <w:b w:val="0"/>
          <w:bCs/>
          <w:sz w:val="21"/>
          <w:szCs w:val="21"/>
          <w:u w:val="none"/>
          <w:lang w:eastAsia="zh-CN"/>
        </w:rPr>
      </w:pPr>
      <w:r>
        <w:rPr>
          <w:rFonts w:hint="eastAsia" w:ascii="方正书宋_GBK" w:hAnsi="方正书宋_GBK" w:eastAsia="方正书宋_GBK" w:cs="方正书宋_GBK"/>
          <w:b w:val="0"/>
          <w:bCs/>
          <w:sz w:val="21"/>
          <w:szCs w:val="21"/>
          <w:u w:val="none"/>
          <w:lang w:eastAsia="zh-CN"/>
        </w:rPr>
        <w:t xml:space="preserve"> </w:t>
      </w:r>
    </w:p>
    <w:tbl>
      <w:tblPr>
        <w:tblStyle w:val="10"/>
        <w:tblW w:w="1288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02"/>
        <w:gridCol w:w="1530"/>
        <w:gridCol w:w="1545"/>
        <w:gridCol w:w="2488"/>
        <w:gridCol w:w="1381"/>
        <w:gridCol w:w="4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27" w:hRule="atLeast"/>
          <w:tblHeader/>
          <w:jc w:val="center"/>
        </w:trPr>
        <w:tc>
          <w:tcPr>
            <w:tcW w:w="140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一级指标</w:t>
            </w:r>
          </w:p>
        </w:tc>
        <w:tc>
          <w:tcPr>
            <w:tcW w:w="153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二级指标</w:t>
            </w:r>
          </w:p>
        </w:tc>
        <w:tc>
          <w:tcPr>
            <w:tcW w:w="1545"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三级指标</w:t>
            </w:r>
          </w:p>
        </w:tc>
        <w:tc>
          <w:tcPr>
            <w:tcW w:w="2488"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绩效指标描述</w:t>
            </w:r>
          </w:p>
        </w:tc>
        <w:tc>
          <w:tcPr>
            <w:tcW w:w="1381"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w:t>
            </w:r>
          </w:p>
        </w:tc>
        <w:tc>
          <w:tcPr>
            <w:tcW w:w="4540"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44" w:hRule="atLeast"/>
          <w:jc w:val="center"/>
        </w:trPr>
        <w:tc>
          <w:tcPr>
            <w:tcW w:w="1402" w:type="dxa"/>
            <w:vMerge w:val="restart"/>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产出指标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时效指标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完成时间</w:t>
            </w:r>
          </w:p>
        </w:tc>
        <w:tc>
          <w:tcPr>
            <w:tcW w:w="24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资金使用完成时间</w:t>
            </w:r>
          </w:p>
        </w:tc>
        <w:tc>
          <w:tcPr>
            <w:tcW w:w="13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1年</w:t>
            </w:r>
          </w:p>
        </w:tc>
        <w:tc>
          <w:tcPr>
            <w:tcW w:w="45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大厂回族自治县农业农村局《关于原大厂回族自治县机动车驾驶员培训学校办公用车进行车改所需资金的请示》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59" w:hRule="atLeast"/>
          <w:jc w:val="center"/>
        </w:trPr>
        <w:tc>
          <w:tcPr>
            <w:tcW w:w="140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质量指标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开展率</w:t>
            </w:r>
          </w:p>
        </w:tc>
        <w:tc>
          <w:tcPr>
            <w:tcW w:w="24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工作开展率</w:t>
            </w:r>
          </w:p>
        </w:tc>
        <w:tc>
          <w:tcPr>
            <w:tcW w:w="13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45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大厂回族自治县农业农村局《关于原大厂回族自治县机动车驾驶员培训学校办公用车进行车改所需资金的请示》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1402" w:type="dxa"/>
            <w:vMerge w:val="continue"/>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成本指标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成本</w:t>
            </w:r>
          </w:p>
        </w:tc>
        <w:tc>
          <w:tcPr>
            <w:tcW w:w="24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预算成本</w:t>
            </w:r>
          </w:p>
        </w:tc>
        <w:tc>
          <w:tcPr>
            <w:tcW w:w="13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0.77万元</w:t>
            </w:r>
          </w:p>
        </w:tc>
        <w:tc>
          <w:tcPr>
            <w:tcW w:w="45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大厂回族自治县农业农村局《关于原大厂回族自治县机动车驾驶员培训学校办公用车进行车改所需资金的请示》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54" w:hRule="atLeast"/>
          <w:jc w:val="center"/>
        </w:trPr>
        <w:tc>
          <w:tcPr>
            <w:tcW w:w="140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效果指标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社会效益指标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完成率</w:t>
            </w:r>
          </w:p>
        </w:tc>
        <w:tc>
          <w:tcPr>
            <w:tcW w:w="24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工作完成率</w:t>
            </w:r>
          </w:p>
        </w:tc>
        <w:tc>
          <w:tcPr>
            <w:tcW w:w="13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100%</w:t>
            </w:r>
          </w:p>
        </w:tc>
        <w:tc>
          <w:tcPr>
            <w:tcW w:w="45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大厂回族自治县农业农村局《关于原大厂回族自治县机动车驾驶员培训学校办公用车进行车改所需资金的请示》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60" w:hRule="atLeast"/>
          <w:jc w:val="center"/>
        </w:trPr>
        <w:tc>
          <w:tcPr>
            <w:tcW w:w="1402" w:type="dxa"/>
            <w:noWrap w:val="0"/>
            <w:vAlign w:val="center"/>
          </w:tcPr>
          <w:p>
            <w:pPr>
              <w:spacing w:line="300" w:lineRule="exact"/>
              <w:jc w:val="center"/>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满意度指标</w:t>
            </w:r>
          </w:p>
        </w:tc>
        <w:tc>
          <w:tcPr>
            <w:tcW w:w="153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服务对象满意度指标</w:t>
            </w:r>
          </w:p>
        </w:tc>
        <w:tc>
          <w:tcPr>
            <w:tcW w:w="1545"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满意度</w:t>
            </w:r>
          </w:p>
        </w:tc>
        <w:tc>
          <w:tcPr>
            <w:tcW w:w="2488"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农业农村局领导对工作完成情况的满意度</w:t>
            </w:r>
          </w:p>
        </w:tc>
        <w:tc>
          <w:tcPr>
            <w:tcW w:w="1381"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≥95%</w:t>
            </w:r>
          </w:p>
        </w:tc>
        <w:tc>
          <w:tcPr>
            <w:tcW w:w="4540" w:type="dxa"/>
            <w:noWrap w:val="0"/>
            <w:vAlign w:val="center"/>
          </w:tcPr>
          <w:p>
            <w:pPr>
              <w:spacing w:line="300" w:lineRule="exact"/>
              <w:jc w:val="left"/>
              <w:outlineLvl w:val="9"/>
              <w:rPr>
                <w:rFonts w:hint="eastAsia" w:ascii="方正书宋_GBK" w:hAnsi="方正书宋_GBK" w:eastAsia="方正书宋_GBK" w:cs="方正书宋_GBK"/>
                <w:b w:val="0"/>
                <w:bCs/>
                <w:sz w:val="21"/>
                <w:szCs w:val="21"/>
                <w:u w:val="none"/>
                <w:vertAlign w:val="baseline"/>
                <w:lang w:eastAsia="zh-CN"/>
              </w:rPr>
            </w:pPr>
            <w:r>
              <w:rPr>
                <w:rFonts w:hint="eastAsia" w:ascii="方正书宋_GBK" w:hAnsi="方正书宋_GBK" w:eastAsia="方正书宋_GBK" w:cs="方正书宋_GBK"/>
                <w:b w:val="0"/>
                <w:bCs/>
                <w:sz w:val="21"/>
                <w:szCs w:val="21"/>
                <w:u w:val="none"/>
                <w:vertAlign w:val="baseline"/>
                <w:lang w:eastAsia="zh-CN"/>
              </w:rPr>
              <w:t>大厂回族自治县农业农村局《关于原大厂回族自治县机动车驾驶员培训学校办公用车进行车改所需资金的请示》</w:t>
            </w: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w:t>
      </w:r>
      <w:bookmarkEnd w:id="41"/>
      <w:r>
        <w:rPr>
          <w:rFonts w:ascii="仿宋" w:hAnsi="仿宋" w:eastAsia="仿宋" w:cs="仿宋"/>
          <w:sz w:val="32"/>
        </w:rPr>
        <w:t>未安排政府采购预算</w:t>
      </w:r>
      <w:r>
        <w:rPr>
          <w:rFonts w:hint="eastAsia" w:ascii="Times New Roman" w:hAnsi="Times New Roman" w:eastAsia="仿宋_GB2312" w:cs="Times New Roman"/>
          <w:sz w:val="32"/>
          <w:szCs w:val="24"/>
          <w:lang w:eastAsia="zh-CN"/>
        </w:rPr>
        <w:t>，空表列示</w:t>
      </w:r>
      <w:r>
        <w:rPr>
          <w:rFonts w:ascii="Times New Roman" w:hAnsi="Times New Roman" w:eastAsia="仿宋_GB2312" w:cs="Times New Roman"/>
          <w:sz w:val="32"/>
          <w:szCs w:val="24"/>
        </w:rPr>
        <w:t>。</w:t>
      </w:r>
    </w:p>
    <w:p>
      <w:pPr>
        <w:spacing w:line="584" w:lineRule="exact"/>
        <w:ind w:firstLine="5760" w:firstLineChars="1800"/>
        <w:jc w:val="both"/>
        <w:outlineLvl w:val="0"/>
        <w:rPr>
          <w:rFonts w:ascii="Times New Roman" w:hAnsi="Times New Roman" w:eastAsia="仿宋_GB2312" w:cs="Times New Roman"/>
          <w:sz w:val="32"/>
        </w:rPr>
      </w:pPr>
    </w:p>
    <w:p>
      <w:pPr>
        <w:spacing w:line="584" w:lineRule="exact"/>
        <w:ind w:firstLine="5760" w:firstLineChars="1800"/>
        <w:jc w:val="both"/>
        <w:outlineLvl w:val="0"/>
        <w:rPr>
          <w:rFonts w:ascii="Times New Roman" w:hAnsi="Times New Roman" w:eastAsia="仿宋_GB2312" w:cs="Times New Roman"/>
          <w:sz w:val="32"/>
        </w:rPr>
      </w:pPr>
      <w:r>
        <w:rPr>
          <w:rFonts w:ascii="Times New Roman" w:hAnsi="Times New Roman" w:eastAsia="仿宋_GB2312" w:cs="Times New Roman"/>
          <w:sz w:val="32"/>
        </w:rPr>
        <w:t>部门政府采购预算</w:t>
      </w:r>
    </w:p>
    <w:tbl>
      <w:tblPr>
        <w:tblStyle w:val="9"/>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eastAsia" w:ascii="Times New Roman" w:hAnsi="Times New Roman" w:eastAsia="仿宋_GB2312" w:cs="Times New Roman"/>
                <w:sz w:val="24"/>
                <w:lang w:val="en-US" w:eastAsia="zh-CN"/>
              </w:rPr>
            </w:pPr>
            <w:r>
              <w:rPr>
                <w:rFonts w:hint="eastAsia" w:ascii="Times New Roman" w:hAnsi="Times New Roman" w:eastAsia="仿宋_GB2312"/>
                <w:kern w:val="0"/>
                <w:sz w:val="22"/>
              </w:rPr>
              <w:t>大厂回族自治县</w:t>
            </w:r>
            <w:r>
              <w:rPr>
                <w:rFonts w:hint="eastAsia" w:ascii="Times New Roman" w:hAnsi="Times New Roman" w:eastAsia="仿宋_GB2312"/>
                <w:kern w:val="0"/>
                <w:sz w:val="22"/>
                <w:lang w:val="en-US" w:eastAsia="zh-CN"/>
              </w:rPr>
              <w:t>农业农村局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37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72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05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05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37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2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1057"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932" w:type="dxa"/>
            <w:shd w:val="clear" w:color="auto" w:fill="auto"/>
            <w:vAlign w:val="center"/>
          </w:tcPr>
          <w:p>
            <w:pPr>
              <w:spacing w:line="584" w:lineRule="exact"/>
              <w:jc w:val="center"/>
              <w:rPr>
                <w:rFonts w:ascii="Times New Roman" w:hAnsi="Times New Roman" w:eastAsia="仿宋_GB2312" w:cs="Times New Roman"/>
                <w:b/>
              </w:rPr>
            </w:pPr>
          </w:p>
        </w:tc>
        <w:tc>
          <w:tcPr>
            <w:tcW w:w="1372" w:type="dxa"/>
            <w:shd w:val="clear" w:color="auto" w:fill="auto"/>
            <w:vAlign w:val="center"/>
          </w:tcPr>
          <w:p>
            <w:pPr>
              <w:spacing w:line="584" w:lineRule="exact"/>
              <w:jc w:val="center"/>
              <w:rPr>
                <w:rFonts w:ascii="Times New Roman" w:hAnsi="Times New Roman" w:eastAsia="仿宋_GB2312" w:cs="Times New Roman"/>
                <w:b/>
              </w:rPr>
            </w:pPr>
          </w:p>
        </w:tc>
        <w:tc>
          <w:tcPr>
            <w:tcW w:w="720"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740"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950"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95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p>
        </w:tc>
        <w:tc>
          <w:tcPr>
            <w:tcW w:w="790" w:type="dxa"/>
            <w:shd w:val="clear" w:color="auto" w:fill="auto"/>
            <w:vAlign w:val="center"/>
          </w:tcPr>
          <w:p>
            <w:pPr>
              <w:spacing w:line="584" w:lineRule="exact"/>
              <w:jc w:val="center"/>
              <w:rPr>
                <w:rFonts w:ascii="Times New Roman" w:hAnsi="Times New Roman" w:eastAsia="仿宋_GB2312" w:cs="Times New Roman"/>
                <w:b/>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shd w:val="clear" w:color="auto" w:fill="auto"/>
            <w:vAlign w:val="center"/>
          </w:tcPr>
          <w:p>
            <w:pPr>
              <w:spacing w:line="584" w:lineRule="exact"/>
              <w:jc w:val="center"/>
              <w:rPr>
                <w:rFonts w:hint="eastAsia" w:ascii="仿宋" w:hAnsi="仿宋" w:eastAsia="仿宋" w:cs="仿宋"/>
                <w:b w:val="0"/>
                <w:bCs/>
              </w:rPr>
            </w:pPr>
          </w:p>
        </w:tc>
        <w:tc>
          <w:tcPr>
            <w:tcW w:w="1057" w:type="dxa"/>
            <w:shd w:val="clear" w:color="auto" w:fill="auto"/>
            <w:vAlign w:val="center"/>
          </w:tcPr>
          <w:p>
            <w:pPr>
              <w:spacing w:line="584" w:lineRule="exact"/>
              <w:jc w:val="center"/>
              <w:rPr>
                <w:rFonts w:hint="eastAsia" w:ascii="仿宋" w:hAnsi="仿宋" w:eastAsia="仿宋" w:cs="仿宋"/>
                <w:b w:val="0"/>
                <w:bCs/>
                <w:lang w:val="en-US" w:eastAsia="zh-CN"/>
              </w:rPr>
            </w:pPr>
          </w:p>
        </w:tc>
        <w:tc>
          <w:tcPr>
            <w:tcW w:w="932" w:type="dxa"/>
            <w:shd w:val="clear" w:color="auto" w:fill="auto"/>
            <w:vAlign w:val="center"/>
          </w:tcPr>
          <w:p>
            <w:pPr>
              <w:spacing w:line="584" w:lineRule="exact"/>
              <w:jc w:val="center"/>
              <w:rPr>
                <w:rFonts w:hint="eastAsia" w:ascii="仿宋" w:hAnsi="仿宋" w:eastAsia="仿宋" w:cs="仿宋"/>
                <w:b w:val="0"/>
                <w:bCs/>
              </w:rPr>
            </w:pPr>
          </w:p>
        </w:tc>
        <w:tc>
          <w:tcPr>
            <w:tcW w:w="1372" w:type="dxa"/>
            <w:shd w:val="clear" w:color="auto" w:fill="auto"/>
            <w:vAlign w:val="center"/>
          </w:tcPr>
          <w:p>
            <w:pPr>
              <w:spacing w:line="584" w:lineRule="exact"/>
              <w:jc w:val="center"/>
              <w:rPr>
                <w:rFonts w:hint="eastAsia" w:ascii="仿宋" w:hAnsi="仿宋" w:eastAsia="仿宋" w:cs="仿宋"/>
                <w:b w:val="0"/>
                <w:bCs/>
              </w:rPr>
            </w:pPr>
          </w:p>
        </w:tc>
        <w:tc>
          <w:tcPr>
            <w:tcW w:w="720" w:type="dxa"/>
            <w:shd w:val="clear" w:color="auto" w:fill="auto"/>
            <w:vAlign w:val="center"/>
          </w:tcPr>
          <w:p>
            <w:pPr>
              <w:spacing w:line="584" w:lineRule="exact"/>
              <w:jc w:val="center"/>
              <w:rPr>
                <w:rFonts w:hint="eastAsia" w:ascii="仿宋" w:hAnsi="仿宋" w:eastAsia="仿宋" w:cs="仿宋"/>
                <w:b w:val="0"/>
                <w:bCs/>
                <w:lang w:val="en-US" w:eastAsia="zh-CN"/>
              </w:rPr>
            </w:pPr>
          </w:p>
        </w:tc>
        <w:tc>
          <w:tcPr>
            <w:tcW w:w="740" w:type="dxa"/>
            <w:shd w:val="clear" w:color="auto" w:fill="auto"/>
            <w:vAlign w:val="center"/>
          </w:tcPr>
          <w:p>
            <w:pPr>
              <w:spacing w:line="584" w:lineRule="exact"/>
              <w:jc w:val="center"/>
              <w:rPr>
                <w:rFonts w:hint="eastAsia" w:ascii="仿宋" w:hAnsi="仿宋" w:eastAsia="仿宋" w:cs="仿宋"/>
                <w:b w:val="0"/>
                <w:bCs/>
                <w:lang w:val="en-US" w:eastAsia="zh-CN"/>
              </w:rPr>
            </w:pPr>
          </w:p>
        </w:tc>
        <w:tc>
          <w:tcPr>
            <w:tcW w:w="950" w:type="dxa"/>
            <w:shd w:val="clear" w:color="auto" w:fill="auto"/>
            <w:vAlign w:val="center"/>
          </w:tcPr>
          <w:p>
            <w:pPr>
              <w:spacing w:line="584" w:lineRule="exact"/>
              <w:jc w:val="center"/>
              <w:rPr>
                <w:rFonts w:hint="eastAsia" w:ascii="仿宋" w:hAnsi="仿宋" w:eastAsia="仿宋" w:cs="仿宋"/>
                <w:b w:val="0"/>
                <w:bCs/>
                <w:lang w:val="en-US" w:eastAsia="zh-CN"/>
              </w:rPr>
            </w:pPr>
          </w:p>
        </w:tc>
        <w:tc>
          <w:tcPr>
            <w:tcW w:w="956" w:type="dxa"/>
            <w:shd w:val="clear" w:color="auto" w:fill="auto"/>
            <w:vAlign w:val="center"/>
          </w:tcPr>
          <w:p>
            <w:pPr>
              <w:spacing w:line="584" w:lineRule="exact"/>
              <w:jc w:val="center"/>
              <w:rPr>
                <w:rFonts w:hint="eastAsia" w:ascii="仿宋" w:hAnsi="仿宋" w:eastAsia="仿宋" w:cs="仿宋"/>
                <w:b w:val="0"/>
                <w:bCs/>
              </w:rPr>
            </w:pP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p>
        </w:tc>
        <w:tc>
          <w:tcPr>
            <w:tcW w:w="956" w:type="dxa"/>
            <w:shd w:val="clear" w:color="auto" w:fill="auto"/>
            <w:vAlign w:val="center"/>
          </w:tcPr>
          <w:p>
            <w:pPr>
              <w:spacing w:line="584" w:lineRule="exact"/>
              <w:jc w:val="center"/>
              <w:rPr>
                <w:rFonts w:hint="eastAsia" w:ascii="仿宋" w:hAnsi="仿宋" w:eastAsia="仿宋" w:cs="仿宋"/>
                <w:b w:val="0"/>
                <w:bCs/>
                <w:lang w:val="en-US" w:eastAsia="zh-CN"/>
              </w:rPr>
            </w:pPr>
          </w:p>
        </w:tc>
        <w:tc>
          <w:tcPr>
            <w:tcW w:w="790" w:type="dxa"/>
            <w:shd w:val="clear" w:color="auto" w:fill="auto"/>
            <w:vAlign w:val="center"/>
          </w:tcPr>
          <w:p>
            <w:pPr>
              <w:spacing w:line="584" w:lineRule="exact"/>
              <w:jc w:val="center"/>
              <w:rPr>
                <w:rFonts w:hint="eastAsia" w:ascii="仿宋" w:hAnsi="仿宋" w:eastAsia="仿宋" w:cs="仿宋"/>
                <w:b w:val="0"/>
                <w:bCs/>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bl>
    <w:p>
      <w:pPr>
        <w:ind w:firstLine="640"/>
        <w:rPr>
          <w:rFonts w:ascii="仿宋" w:hAnsi="仿宋" w:eastAsia="仿宋" w:cs="仿宋"/>
          <w:sz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大厂回族自治县农业</w:t>
      </w:r>
      <w:r>
        <w:rPr>
          <w:rFonts w:hint="eastAsia" w:ascii="Times New Roman" w:hAnsi="Times New Roman" w:eastAsia="仿宋_GB2312"/>
          <w:sz w:val="32"/>
          <w:szCs w:val="32"/>
          <w:lang w:val="en-US" w:eastAsia="zh-CN"/>
        </w:rPr>
        <w:t>农村</w:t>
      </w:r>
      <w:r>
        <w:rPr>
          <w:rFonts w:hint="eastAsia" w:ascii="Times New Roman" w:hAnsi="Times New Roman" w:eastAsia="仿宋_GB2312"/>
          <w:sz w:val="32"/>
          <w:szCs w:val="32"/>
        </w:rPr>
        <w:t>局（含所属单位）上年末固定资产金额为</w:t>
      </w:r>
      <w:r>
        <w:rPr>
          <w:rFonts w:hint="eastAsia" w:ascii="Times New Roman" w:hAnsi="Times New Roman" w:eastAsia="仿宋_GB2312"/>
          <w:sz w:val="32"/>
          <w:szCs w:val="32"/>
          <w:lang w:val="en-US" w:eastAsia="zh-CN"/>
        </w:rPr>
        <w:t>1966.01</w:t>
      </w:r>
      <w:r>
        <w:rPr>
          <w:rFonts w:hint="eastAsia" w:ascii="Times New Roman" w:hAnsi="Times New Roman" w:eastAsia="仿宋_GB2312"/>
          <w:sz w:val="32"/>
          <w:szCs w:val="32"/>
        </w:rPr>
        <w:t>万元，本年度我部门无拟购置固定资产，详见下表。</w:t>
      </w:r>
    </w:p>
    <w:p>
      <w:pPr>
        <w:spacing w:line="584" w:lineRule="exact"/>
        <w:ind w:firstLine="640"/>
        <w:rPr>
          <w:rFonts w:ascii="Times New Roman" w:hAnsi="Times New Roman" w:eastAsia="仿宋_GB2312"/>
          <w:sz w:val="32"/>
          <w:szCs w:val="32"/>
        </w:rPr>
      </w:pPr>
      <w:bookmarkStart w:id="42" w:name="_GoBack"/>
      <w:bookmarkEnd w:id="42"/>
    </w:p>
    <w:tbl>
      <w:tblPr>
        <w:tblStyle w:val="9"/>
        <w:tblW w:w="12686" w:type="dxa"/>
        <w:tblInd w:w="796" w:type="dxa"/>
        <w:tblLayout w:type="autofit"/>
        <w:tblCellMar>
          <w:top w:w="0" w:type="dxa"/>
          <w:left w:w="108" w:type="dxa"/>
          <w:bottom w:w="0" w:type="dxa"/>
          <w:right w:w="108" w:type="dxa"/>
        </w:tblCellMar>
      </w:tblPr>
      <w:tblGrid>
        <w:gridCol w:w="4428"/>
        <w:gridCol w:w="3155"/>
        <w:gridCol w:w="5103"/>
      </w:tblGrid>
      <w:tr>
        <w:tblPrEx>
          <w:tblCellMar>
            <w:top w:w="0" w:type="dxa"/>
            <w:left w:w="108" w:type="dxa"/>
            <w:bottom w:w="0" w:type="dxa"/>
            <w:right w:w="108" w:type="dxa"/>
          </w:tblCellMar>
        </w:tblPrEx>
        <w:trPr>
          <w:trHeight w:val="705" w:hRule="atLeast"/>
        </w:trPr>
        <w:tc>
          <w:tcPr>
            <w:tcW w:w="12686" w:type="dxa"/>
            <w:gridSpan w:val="3"/>
            <w:tcBorders>
              <w:top w:val="nil"/>
              <w:left w:val="nil"/>
              <w:bottom w:val="nil"/>
              <w:right w:val="nil"/>
            </w:tcBorders>
            <w:noWrap/>
            <w:vAlign w:val="center"/>
          </w:tcPr>
          <w:p>
            <w:pPr>
              <w:widowControl/>
              <w:spacing w:line="584" w:lineRule="exac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大厂回族自治县农业局部门固定资产占用情况表</w:t>
            </w:r>
          </w:p>
        </w:tc>
      </w:tr>
      <w:tr>
        <w:tblPrEx>
          <w:tblCellMar>
            <w:top w:w="0" w:type="dxa"/>
            <w:left w:w="108" w:type="dxa"/>
            <w:bottom w:w="0" w:type="dxa"/>
            <w:right w:w="108" w:type="dxa"/>
          </w:tblCellMar>
        </w:tblPrEx>
        <w:trPr>
          <w:trHeight w:val="510" w:hRule="atLeast"/>
        </w:trPr>
        <w:tc>
          <w:tcPr>
            <w:tcW w:w="7583" w:type="dxa"/>
            <w:gridSpan w:val="2"/>
            <w:tcBorders>
              <w:top w:val="nil"/>
              <w:left w:val="nil"/>
              <w:bottom w:val="nil"/>
              <w:right w:val="nil"/>
            </w:tcBorders>
            <w:noWrap/>
            <w:vAlign w:val="center"/>
          </w:tcPr>
          <w:p>
            <w:pPr>
              <w:widowControl/>
              <w:spacing w:line="584" w:lineRule="exact"/>
              <w:rPr>
                <w:rFonts w:hint="default" w:ascii="Times New Roman" w:hAnsi="Times New Roman" w:eastAsia="仿宋_GB2312"/>
                <w:kern w:val="0"/>
                <w:sz w:val="22"/>
                <w:lang w:val="en-US" w:eastAsia="zh-CN"/>
              </w:rPr>
            </w:pPr>
            <w:r>
              <w:rPr>
                <w:rFonts w:hint="eastAsia" w:ascii="Times New Roman" w:hAnsi="Times New Roman" w:eastAsia="仿宋_GB2312"/>
                <w:kern w:val="0"/>
                <w:sz w:val="22"/>
              </w:rPr>
              <w:t>编制部门：大厂回族自治县</w:t>
            </w:r>
            <w:r>
              <w:rPr>
                <w:rFonts w:hint="eastAsia" w:ascii="Times New Roman" w:hAnsi="Times New Roman" w:eastAsia="仿宋_GB2312"/>
                <w:kern w:val="0"/>
                <w:sz w:val="22"/>
                <w:lang w:val="en-US" w:eastAsia="zh-CN"/>
              </w:rPr>
              <w:t>农业农村局</w:t>
            </w:r>
          </w:p>
        </w:tc>
        <w:tc>
          <w:tcPr>
            <w:tcW w:w="5103" w:type="dxa"/>
            <w:tcBorders>
              <w:top w:val="nil"/>
              <w:left w:val="nil"/>
              <w:bottom w:val="nil"/>
              <w:right w:val="nil"/>
            </w:tcBorders>
            <w:noWrap/>
            <w:vAlign w:val="center"/>
          </w:tcPr>
          <w:p>
            <w:pPr>
              <w:widowControl/>
              <w:spacing w:line="584" w:lineRule="exac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w:t>
            </w:r>
            <w:r>
              <w:rPr>
                <w:rFonts w:hint="eastAsia" w:ascii="Times New Roman" w:hAnsi="Times New Roman" w:eastAsia="仿宋_GB2312"/>
                <w:kern w:val="0"/>
                <w:sz w:val="22"/>
                <w:lang w:val="en-US" w:eastAsia="zh-CN"/>
              </w:rPr>
              <w:t>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4428"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4428" w:type="dxa"/>
            <w:tcBorders>
              <w:top w:val="nil"/>
              <w:left w:val="single" w:color="auto" w:sz="4" w:space="0"/>
              <w:bottom w:val="single" w:color="auto" w:sz="4" w:space="0"/>
              <w:right w:val="single" w:color="auto" w:sz="4" w:space="0"/>
            </w:tcBorders>
            <w:noWrap/>
            <w:vAlign w:val="center"/>
          </w:tcPr>
          <w:p>
            <w:pPr>
              <w:widowControl/>
              <w:spacing w:line="584" w:lineRule="exact"/>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noWrap/>
            <w:vAlign w:val="center"/>
          </w:tcPr>
          <w:p>
            <w:pPr>
              <w:spacing w:line="584" w:lineRule="exact"/>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1966.01</w:t>
            </w:r>
          </w:p>
        </w:tc>
      </w:tr>
      <w:tr>
        <w:tblPrEx>
          <w:tblCellMar>
            <w:top w:w="0" w:type="dxa"/>
            <w:left w:w="108" w:type="dxa"/>
            <w:bottom w:w="0" w:type="dxa"/>
            <w:right w:w="108" w:type="dxa"/>
          </w:tblCellMar>
        </w:tblPrEx>
        <w:trPr>
          <w:trHeight w:val="567" w:hRule="exact"/>
        </w:trPr>
        <w:tc>
          <w:tcPr>
            <w:tcW w:w="4428" w:type="dxa"/>
            <w:tcBorders>
              <w:top w:val="nil"/>
              <w:left w:val="single" w:color="auto" w:sz="4" w:space="0"/>
              <w:bottom w:val="single" w:color="auto" w:sz="4" w:space="0"/>
              <w:right w:val="single" w:color="auto" w:sz="4" w:space="0"/>
            </w:tcBorders>
            <w:noWrap/>
            <w:vAlign w:val="center"/>
          </w:tcPr>
          <w:p>
            <w:pPr>
              <w:widowControl/>
              <w:spacing w:line="584" w:lineRule="exact"/>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p>
        </w:tc>
        <w:tc>
          <w:tcPr>
            <w:tcW w:w="5103"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605.27</w:t>
            </w:r>
          </w:p>
        </w:tc>
      </w:tr>
      <w:tr>
        <w:tblPrEx>
          <w:tblCellMar>
            <w:top w:w="0" w:type="dxa"/>
            <w:left w:w="108" w:type="dxa"/>
            <w:bottom w:w="0" w:type="dxa"/>
            <w:right w:w="108" w:type="dxa"/>
          </w:tblCellMar>
        </w:tblPrEx>
        <w:trPr>
          <w:trHeight w:val="567" w:hRule="exact"/>
        </w:trPr>
        <w:tc>
          <w:tcPr>
            <w:tcW w:w="4428" w:type="dxa"/>
            <w:tcBorders>
              <w:top w:val="nil"/>
              <w:left w:val="single" w:color="auto" w:sz="4" w:space="0"/>
              <w:bottom w:val="single" w:color="auto" w:sz="4" w:space="0"/>
              <w:right w:val="single" w:color="auto" w:sz="4" w:space="0"/>
            </w:tcBorders>
            <w:noWrap/>
            <w:vAlign w:val="center"/>
          </w:tcPr>
          <w:p>
            <w:pPr>
              <w:widowControl/>
              <w:spacing w:line="584" w:lineRule="exact"/>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p>
        </w:tc>
        <w:tc>
          <w:tcPr>
            <w:tcW w:w="5103"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p>
        </w:tc>
      </w:tr>
      <w:tr>
        <w:tblPrEx>
          <w:tblCellMar>
            <w:top w:w="0" w:type="dxa"/>
            <w:left w:w="108" w:type="dxa"/>
            <w:bottom w:w="0" w:type="dxa"/>
            <w:right w:w="108" w:type="dxa"/>
          </w:tblCellMar>
        </w:tblPrEx>
        <w:trPr>
          <w:trHeight w:val="567" w:hRule="exact"/>
        </w:trPr>
        <w:tc>
          <w:tcPr>
            <w:tcW w:w="4428" w:type="dxa"/>
            <w:tcBorders>
              <w:top w:val="nil"/>
              <w:left w:val="single" w:color="auto" w:sz="4" w:space="0"/>
              <w:bottom w:val="single" w:color="auto" w:sz="4" w:space="0"/>
              <w:right w:val="single" w:color="auto" w:sz="4" w:space="0"/>
            </w:tcBorders>
            <w:noWrap/>
            <w:vAlign w:val="center"/>
          </w:tcPr>
          <w:p>
            <w:pPr>
              <w:widowControl/>
              <w:spacing w:line="584" w:lineRule="exact"/>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p>
        </w:tc>
        <w:tc>
          <w:tcPr>
            <w:tcW w:w="5103"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158.80</w:t>
            </w:r>
          </w:p>
        </w:tc>
      </w:tr>
      <w:tr>
        <w:tblPrEx>
          <w:tblCellMar>
            <w:top w:w="0" w:type="dxa"/>
            <w:left w:w="108" w:type="dxa"/>
            <w:bottom w:w="0" w:type="dxa"/>
            <w:right w:w="108" w:type="dxa"/>
          </w:tblCellMar>
        </w:tblPrEx>
        <w:trPr>
          <w:trHeight w:val="567" w:hRule="exact"/>
        </w:trPr>
        <w:tc>
          <w:tcPr>
            <w:tcW w:w="4428" w:type="dxa"/>
            <w:tcBorders>
              <w:top w:val="nil"/>
              <w:left w:val="single" w:color="auto" w:sz="4" w:space="0"/>
              <w:bottom w:val="single" w:color="auto" w:sz="4" w:space="0"/>
              <w:right w:val="single" w:color="auto" w:sz="4" w:space="0"/>
            </w:tcBorders>
            <w:noWrap w:val="0"/>
            <w:vAlign w:val="center"/>
          </w:tcPr>
          <w:p>
            <w:pPr>
              <w:widowControl/>
              <w:spacing w:line="584" w:lineRule="exact"/>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noWrap/>
            <w:vAlign w:val="center"/>
          </w:tcPr>
          <w:p>
            <w:pPr>
              <w:spacing w:line="584" w:lineRule="exact"/>
              <w:rPr>
                <w:rFonts w:ascii="Times New Roman" w:hAnsi="Times New Roman" w:eastAsia="仿宋_GB2312"/>
                <w:sz w:val="22"/>
              </w:rPr>
            </w:pPr>
          </w:p>
        </w:tc>
        <w:tc>
          <w:tcPr>
            <w:tcW w:w="5103" w:type="dxa"/>
            <w:tcBorders>
              <w:top w:val="nil"/>
              <w:left w:val="nil"/>
              <w:bottom w:val="single" w:color="auto" w:sz="4" w:space="0"/>
              <w:right w:val="single" w:color="auto" w:sz="4" w:space="0"/>
            </w:tcBorders>
            <w:noWrap/>
            <w:vAlign w:val="center"/>
          </w:tcPr>
          <w:p>
            <w:pPr>
              <w:spacing w:line="584" w:lineRule="exact"/>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4428" w:type="dxa"/>
            <w:tcBorders>
              <w:top w:val="nil"/>
              <w:left w:val="single" w:color="auto" w:sz="4" w:space="0"/>
              <w:bottom w:val="single" w:color="auto" w:sz="4" w:space="0"/>
              <w:right w:val="single" w:color="auto" w:sz="4" w:space="0"/>
            </w:tcBorders>
            <w:noWrap/>
            <w:vAlign w:val="center"/>
          </w:tcPr>
          <w:p>
            <w:pPr>
              <w:widowControl/>
              <w:spacing w:line="584" w:lineRule="exact"/>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noWrap/>
            <w:vAlign w:val="center"/>
          </w:tcPr>
          <w:p>
            <w:pPr>
              <w:spacing w:line="584" w:lineRule="exact"/>
              <w:rPr>
                <w:rFonts w:ascii="Times New Roman" w:hAnsi="Times New Roman" w:eastAsia="仿宋_GB2312"/>
                <w:sz w:val="22"/>
              </w:rPr>
            </w:pPr>
          </w:p>
        </w:tc>
        <w:tc>
          <w:tcPr>
            <w:tcW w:w="5103" w:type="dxa"/>
            <w:tcBorders>
              <w:top w:val="nil"/>
              <w:left w:val="nil"/>
              <w:bottom w:val="single" w:color="auto" w:sz="4" w:space="0"/>
              <w:right w:val="single" w:color="auto" w:sz="4" w:space="0"/>
            </w:tcBorders>
            <w:noWrap/>
            <w:vAlign w:val="center"/>
          </w:tcPr>
          <w:p>
            <w:pPr>
              <w:spacing w:line="584" w:lineRule="exact"/>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1201.94</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b/>
          <w:color w:val="FF0000"/>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40001" w:csb1="00000000"/>
  </w:font>
  <w:font w:name="方正书宋_GBK">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E1724"/>
    <w:rsid w:val="00FE753C"/>
    <w:rsid w:val="00FF2346"/>
    <w:rsid w:val="0419138B"/>
    <w:rsid w:val="05A0059A"/>
    <w:rsid w:val="074319E4"/>
    <w:rsid w:val="0C907925"/>
    <w:rsid w:val="10111BEC"/>
    <w:rsid w:val="10FF618C"/>
    <w:rsid w:val="13D74A69"/>
    <w:rsid w:val="16561996"/>
    <w:rsid w:val="16ED66AB"/>
    <w:rsid w:val="175D79FA"/>
    <w:rsid w:val="188353B7"/>
    <w:rsid w:val="196D4743"/>
    <w:rsid w:val="1B484267"/>
    <w:rsid w:val="1CF8131F"/>
    <w:rsid w:val="27B77877"/>
    <w:rsid w:val="284E218C"/>
    <w:rsid w:val="2A1468EA"/>
    <w:rsid w:val="2CCF21CD"/>
    <w:rsid w:val="30287E97"/>
    <w:rsid w:val="3F5211F4"/>
    <w:rsid w:val="426F7540"/>
    <w:rsid w:val="44BF4FFC"/>
    <w:rsid w:val="46556A2F"/>
    <w:rsid w:val="4A6938E4"/>
    <w:rsid w:val="4C2E43B7"/>
    <w:rsid w:val="4DAF5AB8"/>
    <w:rsid w:val="4DE24664"/>
    <w:rsid w:val="4E6C6A47"/>
    <w:rsid w:val="5730177E"/>
    <w:rsid w:val="5BC60C9C"/>
    <w:rsid w:val="5E9D3849"/>
    <w:rsid w:val="63AE21DF"/>
    <w:rsid w:val="65E16BC6"/>
    <w:rsid w:val="68B5254C"/>
    <w:rsid w:val="69AF19B1"/>
    <w:rsid w:val="6D9B2575"/>
    <w:rsid w:val="76243089"/>
    <w:rsid w:val="76C37658"/>
    <w:rsid w:val="77B370AA"/>
    <w:rsid w:val="796223A4"/>
    <w:rsid w:val="7E0B0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3">
    <w:name w:val="Balloon Text"/>
    <w:basedOn w:val="1"/>
    <w:link w:val="15"/>
    <w:semiHidden/>
    <w:unhideWhenUsed/>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7"/>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otnote reference"/>
    <w:semiHidden/>
    <w:unhideWhenUsed/>
    <w:qFormat/>
    <w:uiPriority w:val="99"/>
    <w:rPr>
      <w:vertAlign w:val="superscript"/>
    </w:rPr>
  </w:style>
  <w:style w:type="character" w:customStyle="1" w:styleId="13">
    <w:name w:val="页眉 Char"/>
    <w:basedOn w:val="11"/>
    <w:link w:val="5"/>
    <w:qFormat/>
    <w:uiPriority w:val="99"/>
    <w:rPr>
      <w:rFonts w:ascii="Times New Roman" w:hAnsi="Times New Roman" w:eastAsia="宋体" w:cs="Times New Roman"/>
      <w:sz w:val="18"/>
      <w:szCs w:val="18"/>
    </w:rPr>
  </w:style>
  <w:style w:type="character" w:customStyle="1" w:styleId="14">
    <w:name w:val="页脚 Char"/>
    <w:basedOn w:val="11"/>
    <w:link w:val="4"/>
    <w:qFormat/>
    <w:uiPriority w:val="99"/>
    <w:rPr>
      <w:rFonts w:ascii="Times New Roman" w:hAnsi="Times New Roman" w:eastAsia="宋体" w:cs="Times New Roman"/>
      <w:sz w:val="18"/>
      <w:szCs w:val="18"/>
    </w:rPr>
  </w:style>
  <w:style w:type="character" w:customStyle="1" w:styleId="15">
    <w:name w:val="批注框文本 Char"/>
    <w:basedOn w:val="11"/>
    <w:link w:val="3"/>
    <w:semiHidden/>
    <w:qFormat/>
    <w:uiPriority w:val="99"/>
    <w:rPr>
      <w:sz w:val="18"/>
      <w:szCs w:val="18"/>
    </w:rPr>
  </w:style>
  <w:style w:type="paragraph" w:customStyle="1" w:styleId="16">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7">
    <w:name w:val="脚注文本 Char"/>
    <w:basedOn w:val="11"/>
    <w:link w:val="7"/>
    <w:semiHidden/>
    <w:qFormat/>
    <w:uiPriority w:val="99"/>
    <w:rPr>
      <w:rFonts w:ascii="Calibri" w:hAnsi="Calibri" w:eastAsia="宋体" w:cs="Times New Roman"/>
      <w:sz w:val="18"/>
      <w:szCs w:val="18"/>
    </w:rPr>
  </w:style>
  <w:style w:type="paragraph" w:customStyle="1" w:styleId="18">
    <w:name w:val="No Spacing"/>
    <w:basedOn w:val="19"/>
    <w:qFormat/>
    <w:uiPriority w:val="2"/>
    <w:pPr>
      <w:widowControl/>
      <w:spacing w:line="560" w:lineRule="exact"/>
      <w:ind w:firstLine="640"/>
      <w:jc w:val="both"/>
    </w:pPr>
    <w:rPr>
      <w:rFonts w:ascii="仿宋_GB2312" w:hAnsi="仿宋_GB2312" w:eastAsia="仿宋_GB2312"/>
      <w:color w:val="000000"/>
      <w:sz w:val="32"/>
    </w:rPr>
  </w:style>
  <w:style w:type="paragraph" w:customStyle="1" w:styleId="19">
    <w:name w:val="[Normal]"/>
    <w:qFormat/>
    <w:uiPriority w:val="6"/>
    <w:rPr>
      <w:rFonts w:ascii="宋体" w:hAnsi="宋体" w:eastAsia="宋体" w:cs="Times New Roman"/>
      <w:color w:val="auto"/>
      <w:position w:val="0"/>
      <w:sz w:val="24"/>
      <w:u w:val="none"/>
      <w:shd w:val="clear" w:color="auto" w:fill="auto"/>
      <w:lang w:val="en-US" w:eastAsia="en-US" w:bidi="ar-SA"/>
    </w:rPr>
  </w:style>
  <w:style w:type="paragraph" w:customStyle="1" w:styleId="20">
    <w:name w:val="p0"/>
    <w:basedOn w:val="1"/>
    <w:qFormat/>
    <w:uiPriority w:val="0"/>
    <w:pPr>
      <w:jc w:val="left"/>
    </w:pPr>
    <w:rPr>
      <w:rFonts w:ascii="宋体" w:hAnsi="宋体" w:eastAsia="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84158-9291-496D-AD29-0BF56C79FC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648</Words>
  <Characters>3695</Characters>
  <Lines>30</Lines>
  <Paragraphs>8</Paragraphs>
  <TotalTime>22</TotalTime>
  <ScaleCrop>false</ScaleCrop>
  <LinksUpToDate>false</LinksUpToDate>
  <CharactersWithSpaces>4335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lenovo</cp:lastModifiedBy>
  <cp:lastPrinted>2018-01-30T06:12:00Z</cp:lastPrinted>
  <dcterms:modified xsi:type="dcterms:W3CDTF">2021-05-21T03:08:40Z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